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sz w:val="84"/>
          <w:szCs w:val="84"/>
          <w:highlight w:val="none"/>
        </w:rPr>
      </w:pPr>
    </w:p>
    <w:p>
      <w:pPr>
        <w:widowControl/>
        <w:jc w:val="center"/>
        <w:rPr>
          <w:sz w:val="84"/>
          <w:szCs w:val="84"/>
          <w:highlight w:val="none"/>
        </w:rPr>
      </w:pPr>
    </w:p>
    <w:p>
      <w:pPr>
        <w:widowControl/>
        <w:jc w:val="center"/>
        <w:rPr>
          <w:sz w:val="84"/>
          <w:szCs w:val="84"/>
          <w:highlight w:val="none"/>
        </w:rPr>
      </w:pPr>
    </w:p>
    <w:p>
      <w:pPr>
        <w:widowControl/>
        <w:jc w:val="center"/>
        <w:rPr>
          <w:rFonts w:ascii="方正小标宋简体" w:eastAsia="方正小标宋简体"/>
          <w:sz w:val="84"/>
          <w:szCs w:val="84"/>
          <w:highlight w:val="none"/>
        </w:rPr>
      </w:pPr>
      <w:r>
        <w:rPr>
          <w:rFonts w:ascii="方正小标宋简体" w:eastAsia="方正小标宋简体"/>
          <w:sz w:val="84"/>
          <w:szCs w:val="84"/>
          <w:highlight w:val="none"/>
        </w:rPr>
        <w:t>20</w:t>
      </w:r>
      <w:r>
        <w:rPr>
          <w:rFonts w:ascii="方正小标宋简体" w:eastAsia="方正小标宋简体"/>
          <w:sz w:val="84"/>
          <w:szCs w:val="84"/>
          <w:highlight w:val="none"/>
          <w:lang w:val="en-US"/>
        </w:rPr>
        <w:t>23</w:t>
      </w:r>
      <w:r>
        <w:rPr>
          <w:rFonts w:hint="eastAsia" w:ascii="方正小标宋简体" w:eastAsia="方正小标宋简体"/>
          <w:sz w:val="84"/>
          <w:szCs w:val="84"/>
          <w:highlight w:val="none"/>
        </w:rPr>
        <w:t>年度</w:t>
      </w:r>
    </w:p>
    <w:p>
      <w:pPr>
        <w:widowControl/>
        <w:jc w:val="center"/>
        <w:outlineLvl w:val="0"/>
        <w:rPr>
          <w:rFonts w:hint="eastAsia" w:ascii="方正小标宋简体" w:eastAsia="方正小标宋简体"/>
          <w:sz w:val="48"/>
          <w:szCs w:val="48"/>
          <w:highlight w:val="none"/>
        </w:rPr>
      </w:pPr>
      <w:bookmarkStart w:id="0" w:name="_Toc2607"/>
      <w:r>
        <w:rPr>
          <w:rFonts w:hint="eastAsia" w:ascii="方正小标宋简体" w:eastAsia="方正小标宋简体"/>
          <w:sz w:val="48"/>
          <w:szCs w:val="48"/>
          <w:highlight w:val="none"/>
        </w:rPr>
        <w:t>泉州市丰泽区职业技术教育中心</w:t>
      </w:r>
      <w:bookmarkEnd w:id="0"/>
    </w:p>
    <w:p>
      <w:pPr>
        <w:widowControl/>
        <w:jc w:val="center"/>
        <w:rPr>
          <w:rFonts w:hint="eastAsia" w:ascii="方正小标宋简体" w:eastAsia="方正小标宋简体"/>
          <w:sz w:val="48"/>
          <w:szCs w:val="48"/>
          <w:highlight w:val="none"/>
        </w:rPr>
      </w:pPr>
      <w:r>
        <w:rPr>
          <w:rFonts w:hint="eastAsia" w:ascii="方正小标宋简体" w:eastAsia="方正小标宋简体"/>
          <w:sz w:val="48"/>
          <w:szCs w:val="48"/>
          <w:highlight w:val="none"/>
        </w:rPr>
        <w:t>部门决算</w:t>
      </w:r>
    </w:p>
    <w:p>
      <w:pPr>
        <w:widowControl/>
        <w:jc w:val="center"/>
        <w:rPr>
          <w:rFonts w:hint="eastAsia" w:ascii="方正小标宋简体" w:eastAsia="方正小标宋简体"/>
          <w:sz w:val="72"/>
          <w:szCs w:val="72"/>
          <w:highlight w:val="none"/>
        </w:rPr>
      </w:pPr>
    </w:p>
    <w:p>
      <w:pPr>
        <w:widowControl/>
        <w:jc w:val="center"/>
        <w:rPr>
          <w:rFonts w:hint="eastAsia" w:ascii="方正小标宋简体" w:eastAsia="方正小标宋简体"/>
          <w:sz w:val="72"/>
          <w:szCs w:val="72"/>
          <w:highlight w:val="none"/>
        </w:rPr>
      </w:pPr>
    </w:p>
    <w:p>
      <w:pPr>
        <w:widowControl/>
        <w:jc w:val="center"/>
        <w:rPr>
          <w:rFonts w:hint="eastAsia" w:ascii="方正小标宋简体" w:eastAsia="方正小标宋简体"/>
          <w:sz w:val="72"/>
          <w:szCs w:val="72"/>
          <w:highlight w:val="none"/>
        </w:rPr>
      </w:pPr>
    </w:p>
    <w:p>
      <w:pPr>
        <w:widowControl/>
        <w:jc w:val="center"/>
        <w:rPr>
          <w:rFonts w:hint="eastAsia" w:ascii="方正小标宋简体" w:eastAsia="方正小标宋简体"/>
          <w:sz w:val="72"/>
          <w:szCs w:val="72"/>
          <w:highlight w:val="none"/>
        </w:rPr>
      </w:pPr>
    </w:p>
    <w:p>
      <w:pPr>
        <w:widowControl/>
        <w:jc w:val="center"/>
        <w:rPr>
          <w:rFonts w:hint="eastAsia" w:ascii="Dotum" w:hAnsi="Dotum" w:eastAsia="Dotum" w:cs="Dotum"/>
          <w:sz w:val="44"/>
          <w:szCs w:val="44"/>
          <w:highlight w:val="none"/>
        </w:rPr>
      </w:pPr>
      <w:r>
        <w:rPr>
          <w:rFonts w:hint="eastAsia" w:ascii="Dotum" w:hAnsi="Dotum" w:eastAsia="Dotum" w:cs="Dotum"/>
          <w:sz w:val="44"/>
          <w:szCs w:val="44"/>
          <w:highlight w:val="none"/>
        </w:rPr>
        <w:t>20</w:t>
      </w:r>
      <w:r>
        <w:rPr>
          <w:rFonts w:hint="eastAsia" w:ascii="Dotum" w:hAnsi="Dotum" w:eastAsia="宋体" w:cs="Dotum"/>
          <w:sz w:val="44"/>
          <w:szCs w:val="44"/>
          <w:highlight w:val="none"/>
          <w:lang w:val="en-US" w:eastAsia="zh-CN"/>
        </w:rPr>
        <w:t>2</w:t>
      </w:r>
      <w:r>
        <w:rPr>
          <w:rFonts w:hint="default" w:ascii="Dotum" w:hAnsi="Dotum" w:eastAsia="宋体" w:cs="Dotum"/>
          <w:sz w:val="44"/>
          <w:szCs w:val="44"/>
          <w:highlight w:val="none"/>
          <w:lang w:val="en-US" w:eastAsia="zh-CN"/>
        </w:rPr>
        <w:t>4</w:t>
      </w:r>
      <w:r>
        <w:rPr>
          <w:rFonts w:hint="eastAsia" w:ascii="Dotum" w:hAnsi="Dotum" w:eastAsia="Dotum" w:cs="Dotum"/>
          <w:sz w:val="44"/>
          <w:szCs w:val="44"/>
          <w:highlight w:val="none"/>
        </w:rPr>
        <w:t>年</w:t>
      </w:r>
      <w:r>
        <w:rPr>
          <w:rFonts w:hint="default" w:ascii="Dotum" w:hAnsi="Dotum" w:eastAsia="Dotum" w:cs="Dotum"/>
          <w:sz w:val="44"/>
          <w:szCs w:val="44"/>
          <w:highlight w:val="none"/>
          <w:lang w:val="en-US"/>
        </w:rPr>
        <w:t>8</w:t>
      </w:r>
      <w:r>
        <w:rPr>
          <w:rFonts w:hint="eastAsia" w:ascii="Dotum" w:hAnsi="Dotum" w:eastAsia="Dotum" w:cs="Dotum"/>
          <w:sz w:val="44"/>
          <w:szCs w:val="44"/>
          <w:highlight w:val="none"/>
        </w:rPr>
        <w:t>月</w:t>
      </w:r>
      <w:r>
        <w:rPr>
          <w:rFonts w:hint="default" w:ascii="Dotum" w:hAnsi="Dotum" w:eastAsia="宋体" w:cs="Dotum"/>
          <w:sz w:val="44"/>
          <w:szCs w:val="44"/>
          <w:highlight w:val="none"/>
          <w:lang w:val="en-US" w:eastAsia="zh-CN"/>
        </w:rPr>
        <w:t>2</w:t>
      </w:r>
      <w:r>
        <w:rPr>
          <w:rFonts w:hint="eastAsia" w:ascii="Dotum" w:hAnsi="Dotum" w:eastAsia="宋体" w:cs="Dotum"/>
          <w:sz w:val="44"/>
          <w:szCs w:val="44"/>
          <w:highlight w:val="none"/>
          <w:lang w:val="en-US" w:eastAsia="zh-CN"/>
        </w:rPr>
        <w:t>4</w:t>
      </w:r>
      <w:bookmarkStart w:id="28" w:name="_GoBack"/>
      <w:bookmarkEnd w:id="28"/>
      <w:r>
        <w:rPr>
          <w:rFonts w:hint="eastAsia" w:ascii="Dotum" w:hAnsi="Dotum" w:eastAsia="Dotum" w:cs="Dotum"/>
          <w:sz w:val="44"/>
          <w:szCs w:val="44"/>
          <w:highlight w:val="none"/>
        </w:rPr>
        <w:t>日</w:t>
      </w:r>
    </w:p>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sz w:val="84"/>
          <w:szCs w:val="84"/>
          <w:highlight w:val="none"/>
        </w:rPr>
      </w:pPr>
      <w:r>
        <w:rPr>
          <w:sz w:val="84"/>
          <w:szCs w:val="84"/>
          <w:highlight w:val="none"/>
        </w:rPr>
        <w:br w:type="page"/>
      </w:r>
    </w:p>
    <w:sdt>
      <w:sdtPr>
        <w:rPr>
          <w:rFonts w:ascii="宋体" w:hAnsi="宋体" w:eastAsia="宋体" w:cstheme="minorBidi"/>
          <w:kern w:val="2"/>
          <w:sz w:val="21"/>
          <w:szCs w:val="22"/>
          <w:lang w:val="en-US" w:eastAsia="zh-CN" w:bidi="ar-SA"/>
        </w:rPr>
        <w:id w:val="147477220"/>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黑体" w:hAnsi="黑体" w:eastAsia="黑体" w:cs="黑体"/>
              <w:b/>
              <w:sz w:val="36"/>
              <w:szCs w:val="36"/>
              <w:highlight w:val="none"/>
            </w:rPr>
            <w:t>目录</w:t>
          </w:r>
        </w:p>
        <w:p>
          <w:pPr>
            <w:pStyle w:val="8"/>
            <w:tabs>
              <w:tab w:val="right" w:leader="dot" w:pos="8844"/>
            </w:tabs>
            <w:rPr>
              <w:b/>
            </w:rPr>
          </w:pPr>
          <w:r>
            <w:fldChar w:fldCharType="begin"/>
          </w:r>
          <w:r>
            <w:instrText xml:space="preserve">TOC \o "1-2" \h \u </w:instrText>
          </w:r>
          <w:r>
            <w:fldChar w:fldCharType="separate"/>
          </w:r>
        </w:p>
        <w:p>
          <w:pPr>
            <w:pStyle w:val="8"/>
            <w:tabs>
              <w:tab w:val="right" w:leader="dot" w:pos="8844"/>
            </w:tabs>
            <w:rPr>
              <w:b/>
            </w:rPr>
          </w:pP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HYPERLINK \l _Toc14166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第一部分 部门概况</w:t>
          </w:r>
          <w:r>
            <w:rPr>
              <w:rFonts w:hint="eastAsia" w:ascii="仿宋" w:hAnsi="仿宋" w:eastAsia="仿宋" w:cstheme="minorBidi"/>
              <w:b/>
              <w:kern w:val="2"/>
              <w:sz w:val="32"/>
              <w:szCs w:val="32"/>
              <w:highlight w:val="none"/>
              <w:lang w:val="en-US" w:eastAsia="zh-CN" w:bidi="ar-SA"/>
            </w:rPr>
            <w:tab/>
          </w: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PAGEREF _Toc14166 \h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4</w:t>
          </w:r>
          <w:r>
            <w:rPr>
              <w:rFonts w:hint="eastAsia" w:ascii="仿宋" w:hAnsi="仿宋" w:eastAsia="仿宋" w:cstheme="minorBidi"/>
              <w:b/>
              <w:kern w:val="2"/>
              <w:sz w:val="32"/>
              <w:szCs w:val="32"/>
              <w:highlight w:val="none"/>
              <w:lang w:val="en-US" w:eastAsia="zh-CN" w:bidi="ar-SA"/>
            </w:rPr>
            <w:fldChar w:fldCharType="end"/>
          </w:r>
          <w:r>
            <w:rPr>
              <w:rFonts w:hint="eastAsia" w:ascii="仿宋" w:hAnsi="仿宋" w:eastAsia="仿宋" w:cstheme="minorBidi"/>
              <w:b/>
              <w:kern w:val="2"/>
              <w:sz w:val="32"/>
              <w:szCs w:val="32"/>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_Toc31025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一、部门主要职责</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_Toc31025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4</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_Toc9578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二、部门决算单位基本情况</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_Toc9578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4</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_Toc14160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三、部门主要工作总结</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_Toc14160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5</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8"/>
            <w:tabs>
              <w:tab w:val="right" w:leader="dot" w:pos="8844"/>
            </w:tabs>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HYPERLINK \l _Toc14874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第二部分 2023年度部门决算表</w:t>
          </w:r>
          <w:r>
            <w:rPr>
              <w:rFonts w:hint="eastAsia" w:ascii="仿宋" w:hAnsi="仿宋" w:eastAsia="仿宋" w:cstheme="minorBidi"/>
              <w:b/>
              <w:kern w:val="2"/>
              <w:sz w:val="32"/>
              <w:szCs w:val="32"/>
              <w:highlight w:val="none"/>
              <w:lang w:val="en-US" w:eastAsia="zh-CN" w:bidi="ar-SA"/>
            </w:rPr>
            <w:tab/>
          </w: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PAGEREF _Toc14874 \h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10</w:t>
          </w:r>
          <w:r>
            <w:rPr>
              <w:rFonts w:hint="eastAsia" w:ascii="仿宋" w:hAnsi="仿宋" w:eastAsia="仿宋" w:cstheme="minorBidi"/>
              <w:b/>
              <w:kern w:val="2"/>
              <w:sz w:val="32"/>
              <w:szCs w:val="32"/>
              <w:highlight w:val="none"/>
              <w:lang w:val="en-US" w:eastAsia="zh-CN" w:bidi="ar-SA"/>
            </w:rPr>
            <w:fldChar w:fldCharType="end"/>
          </w:r>
          <w:r>
            <w:rPr>
              <w:rFonts w:hint="eastAsia" w:ascii="仿宋" w:hAnsi="仿宋" w:eastAsia="仿宋" w:cstheme="minorBidi"/>
              <w:b/>
              <w:kern w:val="2"/>
              <w:sz w:val="32"/>
              <w:szCs w:val="32"/>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_Toc21434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一、收入支出决算总表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_Toc21434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11</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_Toc32406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二、收入决算表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_Toc32406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12</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_Toc15804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三、支出决算表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_Toc15804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13</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_Toc3150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四、 财政拨款收入支出决算总表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_Toc3150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14</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_Toc23288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五、一般公共预算财政拨款支出决算表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_Toc23288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15</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_Toc25734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六、一般公共预算财政拨款基本支出决算表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_Toc25734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16</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_Toc14634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七、一般公共预算财政拨款“三公”经费支出决算表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_Toc14634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17</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_Toc12678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八、政府性基金预算财政拨款收入支出决算表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_Toc12678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18</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_Toc18181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九、 国有资本经营预算财政拨款支出决算表</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_Toc18181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19</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HYPERLINK \l _Toc5401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第三部分 2023年度部门决算情况说明</w:t>
          </w:r>
          <w:r>
            <w:rPr>
              <w:rFonts w:hint="eastAsia" w:ascii="仿宋" w:hAnsi="仿宋" w:eastAsia="仿宋" w:cstheme="minorBidi"/>
              <w:b/>
              <w:kern w:val="2"/>
              <w:sz w:val="32"/>
              <w:szCs w:val="32"/>
              <w:highlight w:val="none"/>
              <w:lang w:val="en-US" w:eastAsia="zh-CN" w:bidi="ar-SA"/>
            </w:rPr>
            <w:tab/>
          </w: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PAGEREF _Toc5401 \h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20</w:t>
          </w:r>
          <w:r>
            <w:rPr>
              <w:rFonts w:hint="eastAsia" w:ascii="仿宋" w:hAnsi="仿宋" w:eastAsia="仿宋" w:cstheme="minorBidi"/>
              <w:b/>
              <w:kern w:val="2"/>
              <w:sz w:val="32"/>
              <w:szCs w:val="32"/>
              <w:highlight w:val="none"/>
              <w:lang w:val="en-US" w:eastAsia="zh-CN" w:bidi="ar-SA"/>
            </w:rPr>
            <w:fldChar w:fldCharType="end"/>
          </w:r>
          <w:r>
            <w:rPr>
              <w:rFonts w:hint="eastAsia" w:ascii="仿宋" w:hAnsi="仿宋" w:eastAsia="仿宋" w:cstheme="minorBidi"/>
              <w:b/>
              <w:kern w:val="2"/>
              <w:sz w:val="32"/>
              <w:szCs w:val="32"/>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_Toc7001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一、收入支出决算总体情况说明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_Toc7001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20</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_Toc26347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二、财政拨款收入支出决算总体情况说明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_Toc26347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21</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_Toc11250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三、一般公共预算财政拨款支出决算情况说明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_Toc11250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21</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_Toc23957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四、政府性基金预算财政拨款支出决算情况说明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_Toc23957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21</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_Toc7861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五、国有资本经营预算财政拨款支出决算情况说明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_Toc7861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21</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_Toc4271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六、一般公共预算财政拨款基本支出决算情况说明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_Toc4271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21</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_Toc13410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七、一般公共预算拨款“三公”经费支出决算情况说明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_Toc13410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22</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kern w:val="2"/>
              <w:sz w:val="30"/>
              <w:szCs w:val="30"/>
              <w:highlight w:val="none"/>
              <w:lang w:val="en-US" w:eastAsia="zh-CN" w:bidi="ar-SA"/>
            </w:rPr>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_Toc20312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八、预算绩效情况说明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_Toc20312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24</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pP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HYPERLINK \l _Toc21365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九、其他重要事项说明</w:t>
          </w:r>
          <w:r>
            <w:rPr>
              <w:rFonts w:hint="eastAsia" w:ascii="仿宋" w:hAnsi="仿宋" w:eastAsia="仿宋" w:cstheme="minorBidi"/>
              <w:kern w:val="2"/>
              <w:sz w:val="30"/>
              <w:szCs w:val="30"/>
              <w:highlight w:val="none"/>
              <w:lang w:val="en-US" w:eastAsia="zh-CN" w:bidi="ar-SA"/>
            </w:rPr>
            <w:tab/>
          </w:r>
          <w:r>
            <w:rPr>
              <w:rFonts w:hint="eastAsia" w:ascii="仿宋" w:hAnsi="仿宋" w:eastAsia="仿宋" w:cstheme="minorBidi"/>
              <w:kern w:val="2"/>
              <w:sz w:val="30"/>
              <w:szCs w:val="30"/>
              <w:highlight w:val="none"/>
              <w:lang w:val="en-US" w:eastAsia="zh-CN" w:bidi="ar-SA"/>
            </w:rPr>
            <w:fldChar w:fldCharType="begin"/>
          </w:r>
          <w:r>
            <w:rPr>
              <w:rFonts w:hint="eastAsia" w:ascii="仿宋" w:hAnsi="仿宋" w:eastAsia="仿宋" w:cstheme="minorBidi"/>
              <w:kern w:val="2"/>
              <w:sz w:val="30"/>
              <w:szCs w:val="30"/>
              <w:highlight w:val="none"/>
              <w:lang w:val="en-US" w:eastAsia="zh-CN" w:bidi="ar-SA"/>
            </w:rPr>
            <w:instrText xml:space="preserve"> PAGEREF _Toc21365 \h </w:instrText>
          </w:r>
          <w:r>
            <w:rPr>
              <w:rFonts w:hint="eastAsia" w:ascii="仿宋" w:hAnsi="仿宋" w:eastAsia="仿宋" w:cstheme="minorBidi"/>
              <w:kern w:val="2"/>
              <w:sz w:val="30"/>
              <w:szCs w:val="30"/>
              <w:highlight w:val="none"/>
              <w:lang w:val="en-US" w:eastAsia="zh-CN" w:bidi="ar-SA"/>
            </w:rPr>
            <w:fldChar w:fldCharType="separate"/>
          </w:r>
          <w:r>
            <w:rPr>
              <w:rFonts w:hint="eastAsia" w:ascii="仿宋" w:hAnsi="仿宋" w:eastAsia="仿宋" w:cstheme="minorBidi"/>
              <w:kern w:val="2"/>
              <w:sz w:val="30"/>
              <w:szCs w:val="30"/>
              <w:highlight w:val="none"/>
              <w:lang w:val="en-US" w:eastAsia="zh-CN" w:bidi="ar-SA"/>
            </w:rPr>
            <w:t>24</w:t>
          </w:r>
          <w:r>
            <w:rPr>
              <w:rFonts w:hint="eastAsia" w:ascii="仿宋" w:hAnsi="仿宋" w:eastAsia="仿宋" w:cstheme="minorBidi"/>
              <w:kern w:val="2"/>
              <w:sz w:val="30"/>
              <w:szCs w:val="30"/>
              <w:highlight w:val="none"/>
              <w:lang w:val="en-US" w:eastAsia="zh-CN" w:bidi="ar-SA"/>
            </w:rPr>
            <w:fldChar w:fldCharType="end"/>
          </w:r>
          <w:r>
            <w:rPr>
              <w:rFonts w:hint="eastAsia" w:ascii="仿宋" w:hAnsi="仿宋" w:eastAsia="仿宋" w:cstheme="minorBidi"/>
              <w:kern w:val="2"/>
              <w:sz w:val="30"/>
              <w:szCs w:val="30"/>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HYPERLINK \l _Toc21134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第四部分 名词解释</w:t>
          </w:r>
          <w:r>
            <w:rPr>
              <w:rFonts w:hint="eastAsia" w:ascii="仿宋" w:hAnsi="仿宋" w:eastAsia="仿宋" w:cstheme="minorBidi"/>
              <w:b/>
              <w:kern w:val="2"/>
              <w:sz w:val="32"/>
              <w:szCs w:val="32"/>
              <w:highlight w:val="none"/>
              <w:lang w:val="en-US" w:eastAsia="zh-CN" w:bidi="ar-SA"/>
            </w:rPr>
            <w:tab/>
          </w: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PAGEREF _Toc21134 \h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26</w:t>
          </w:r>
          <w:r>
            <w:rPr>
              <w:rFonts w:hint="eastAsia" w:ascii="仿宋" w:hAnsi="仿宋" w:eastAsia="仿宋" w:cstheme="minorBidi"/>
              <w:b/>
              <w:kern w:val="2"/>
              <w:sz w:val="32"/>
              <w:szCs w:val="32"/>
              <w:highlight w:val="none"/>
              <w:lang w:val="en-US" w:eastAsia="zh-CN" w:bidi="ar-SA"/>
            </w:rPr>
            <w:fldChar w:fldCharType="end"/>
          </w:r>
          <w:r>
            <w:rPr>
              <w:rFonts w:hint="eastAsia" w:ascii="仿宋" w:hAnsi="仿宋" w:eastAsia="仿宋" w:cstheme="minorBidi"/>
              <w:b/>
              <w:kern w:val="2"/>
              <w:sz w:val="32"/>
              <w:szCs w:val="32"/>
              <w:highlight w:val="none"/>
              <w:lang w:val="en-US" w:eastAsia="zh-CN" w:bidi="ar-SA"/>
            </w:rPr>
            <w:fldChar w:fldCharType="end"/>
          </w:r>
        </w:p>
        <w:p>
          <w:pPr>
            <w:pStyle w:val="9"/>
            <w:tabs>
              <w:tab w:val="right" w:leader="dot" w:pos="8844"/>
            </w:tabs>
            <w:ind w:left="0" w:leftChars="0" w:firstLine="0" w:firstLineChars="0"/>
            <w:rPr>
              <w:rFonts w:hint="eastAsia" w:ascii="仿宋" w:hAnsi="仿宋" w:eastAsia="仿宋" w:cstheme="minorBidi"/>
              <w:b/>
              <w:kern w:val="2"/>
              <w:sz w:val="32"/>
              <w:szCs w:val="32"/>
              <w:highlight w:val="none"/>
              <w:lang w:val="en-US" w:eastAsia="zh-CN" w:bidi="ar-SA"/>
            </w:rPr>
          </w:pP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HYPERLINK \l _Toc21412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第五部分 附件</w:t>
          </w:r>
          <w:r>
            <w:rPr>
              <w:rFonts w:hint="eastAsia" w:ascii="仿宋" w:hAnsi="仿宋" w:eastAsia="仿宋" w:cstheme="minorBidi"/>
              <w:b/>
              <w:kern w:val="2"/>
              <w:sz w:val="32"/>
              <w:szCs w:val="32"/>
              <w:highlight w:val="none"/>
              <w:lang w:val="en-US" w:eastAsia="zh-CN" w:bidi="ar-SA"/>
            </w:rPr>
            <w:tab/>
          </w:r>
          <w:r>
            <w:rPr>
              <w:rFonts w:hint="eastAsia" w:ascii="仿宋" w:hAnsi="仿宋" w:eastAsia="仿宋" w:cstheme="minorBidi"/>
              <w:b/>
              <w:kern w:val="2"/>
              <w:sz w:val="32"/>
              <w:szCs w:val="32"/>
              <w:highlight w:val="none"/>
              <w:lang w:val="en-US" w:eastAsia="zh-CN" w:bidi="ar-SA"/>
            </w:rPr>
            <w:fldChar w:fldCharType="begin"/>
          </w:r>
          <w:r>
            <w:rPr>
              <w:rFonts w:hint="eastAsia" w:ascii="仿宋" w:hAnsi="仿宋" w:eastAsia="仿宋" w:cstheme="minorBidi"/>
              <w:b/>
              <w:kern w:val="2"/>
              <w:sz w:val="32"/>
              <w:szCs w:val="32"/>
              <w:highlight w:val="none"/>
              <w:lang w:val="en-US" w:eastAsia="zh-CN" w:bidi="ar-SA"/>
            </w:rPr>
            <w:instrText xml:space="preserve"> PAGEREF _Toc21412 \h </w:instrText>
          </w:r>
          <w:r>
            <w:rPr>
              <w:rFonts w:hint="eastAsia" w:ascii="仿宋" w:hAnsi="仿宋" w:eastAsia="仿宋" w:cstheme="minorBidi"/>
              <w:b/>
              <w:kern w:val="2"/>
              <w:sz w:val="32"/>
              <w:szCs w:val="32"/>
              <w:highlight w:val="none"/>
              <w:lang w:val="en-US" w:eastAsia="zh-CN" w:bidi="ar-SA"/>
            </w:rPr>
            <w:fldChar w:fldCharType="separate"/>
          </w:r>
          <w:r>
            <w:rPr>
              <w:rFonts w:hint="eastAsia" w:ascii="仿宋" w:hAnsi="仿宋" w:eastAsia="仿宋" w:cstheme="minorBidi"/>
              <w:b/>
              <w:kern w:val="2"/>
              <w:sz w:val="32"/>
              <w:szCs w:val="32"/>
              <w:highlight w:val="none"/>
              <w:lang w:val="en-US" w:eastAsia="zh-CN" w:bidi="ar-SA"/>
            </w:rPr>
            <w:t>28</w:t>
          </w:r>
          <w:r>
            <w:rPr>
              <w:rFonts w:hint="eastAsia" w:ascii="仿宋" w:hAnsi="仿宋" w:eastAsia="仿宋" w:cstheme="minorBidi"/>
              <w:b/>
              <w:kern w:val="2"/>
              <w:sz w:val="32"/>
              <w:szCs w:val="32"/>
              <w:highlight w:val="none"/>
              <w:lang w:val="en-US" w:eastAsia="zh-CN" w:bidi="ar-SA"/>
            </w:rPr>
            <w:fldChar w:fldCharType="end"/>
          </w:r>
          <w:r>
            <w:rPr>
              <w:rFonts w:hint="eastAsia" w:ascii="仿宋" w:hAnsi="仿宋" w:eastAsia="仿宋" w:cstheme="minorBidi"/>
              <w:b/>
              <w:kern w:val="2"/>
              <w:sz w:val="32"/>
              <w:szCs w:val="32"/>
              <w:highlight w:val="none"/>
              <w:lang w:val="en-US" w:eastAsia="zh-CN" w:bidi="ar-SA"/>
            </w:rPr>
            <w:fldChar w:fldCharType="end"/>
          </w:r>
        </w:p>
        <w:p>
          <w:r>
            <w:rPr>
              <w:b/>
            </w:rPr>
            <w:fldChar w:fldCharType="end"/>
          </w:r>
        </w:p>
      </w:sdtContent>
    </w:sdt>
    <w:p>
      <w:pPr>
        <w:spacing w:line="240" w:lineRule="auto"/>
        <w:jc w:val="center"/>
        <w:outlineLvl w:val="0"/>
        <w:rPr>
          <w:rFonts w:ascii="黑体" w:hAnsi="黑体" w:eastAsia="黑体"/>
          <w:sz w:val="36"/>
          <w:szCs w:val="36"/>
          <w:highlight w:val="none"/>
        </w:rPr>
      </w:pPr>
      <w:r>
        <w:rPr>
          <w:rFonts w:ascii="仿宋" w:hAnsi="仿宋" w:eastAsia="仿宋"/>
          <w:sz w:val="32"/>
          <w:szCs w:val="32"/>
          <w:highlight w:val="none"/>
        </w:rPr>
        <w:br w:type="page"/>
      </w:r>
      <w:bookmarkStart w:id="1" w:name="_Toc14166"/>
      <w:r>
        <w:rPr>
          <w:rFonts w:hint="eastAsia" w:ascii="黑体" w:hAnsi="黑体" w:eastAsia="黑体"/>
          <w:sz w:val="36"/>
          <w:szCs w:val="36"/>
          <w:highlight w:val="none"/>
        </w:rPr>
        <w:t>第一部分</w:t>
      </w:r>
      <w:r>
        <w:rPr>
          <w:rFonts w:ascii="黑体" w:hAnsi="黑体" w:eastAsia="黑体"/>
          <w:sz w:val="36"/>
          <w:szCs w:val="36"/>
          <w:highlight w:val="none"/>
        </w:rPr>
        <w:t xml:space="preserve"> </w:t>
      </w:r>
      <w:r>
        <w:rPr>
          <w:rFonts w:hint="eastAsia" w:ascii="黑体" w:hAnsi="黑体" w:eastAsia="黑体"/>
          <w:sz w:val="36"/>
          <w:szCs w:val="36"/>
          <w:highlight w:val="none"/>
        </w:rPr>
        <w:t>部门概况</w:t>
      </w:r>
      <w:bookmarkEnd w:id="1"/>
    </w:p>
    <w:p>
      <w:pPr>
        <w:spacing w:line="240" w:lineRule="auto"/>
        <w:rPr>
          <w:rFonts w:ascii="黑体" w:hAnsi="黑体" w:eastAsia="黑体"/>
          <w:sz w:val="36"/>
          <w:szCs w:val="36"/>
          <w:highlight w:val="none"/>
        </w:rPr>
      </w:pPr>
    </w:p>
    <w:p>
      <w:pPr>
        <w:spacing w:line="240" w:lineRule="auto"/>
        <w:ind w:firstLine="640" w:firstLineChars="200"/>
        <w:outlineLvl w:val="1"/>
        <w:rPr>
          <w:rFonts w:ascii="黑体" w:hAnsi="黑体" w:eastAsia="黑体"/>
          <w:sz w:val="32"/>
          <w:szCs w:val="32"/>
          <w:highlight w:val="none"/>
        </w:rPr>
      </w:pPr>
      <w:bookmarkStart w:id="2" w:name="_Toc31025"/>
      <w:r>
        <w:rPr>
          <w:rFonts w:hint="eastAsia" w:ascii="黑体" w:hAnsi="黑体" w:eastAsia="黑体"/>
          <w:sz w:val="32"/>
          <w:szCs w:val="32"/>
          <w:highlight w:val="none"/>
        </w:rPr>
        <w:t>一、部门主要职责</w:t>
      </w:r>
      <w:bookmarkEnd w:id="2"/>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泉州市丰泽区职业技术教育中心部门的主要职责是：从事中等职业教育，培养专业技能型人才。</w:t>
      </w:r>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（一）研究拟定全校的教育发展战略法，贯彻执行党和国家的教育方针、政策、法规。</w:t>
      </w:r>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（二）研究拟定学校的发展规划和年度计划，组织实施教育体制和办学体制改革。</w:t>
      </w:r>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（三）管理和指导学校基层教育工作，确保中等职业教育工作成果。</w:t>
      </w:r>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（四）管理学校教育经费，执行财务管理制度。</w:t>
      </w:r>
    </w:p>
    <w:p>
      <w:pPr>
        <w:spacing w:line="24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（五）负责和指导学校教职工的思想政治工作，规划学校品德教育、体育卫生教育、职业技术教育和国防教育，负责做好学生治安治理及安全保卫工作等。</w:t>
      </w:r>
    </w:p>
    <w:p>
      <w:pPr>
        <w:spacing w:line="240" w:lineRule="auto"/>
        <w:ind w:firstLine="640" w:firstLineChars="200"/>
        <w:outlineLvl w:val="1"/>
        <w:rPr>
          <w:rFonts w:ascii="黑体" w:hAnsi="黑体" w:eastAsia="黑体"/>
          <w:sz w:val="32"/>
          <w:szCs w:val="32"/>
          <w:highlight w:val="none"/>
        </w:rPr>
      </w:pPr>
      <w:bookmarkStart w:id="3" w:name="_Toc9578"/>
      <w:r>
        <w:rPr>
          <w:rFonts w:hint="eastAsia" w:ascii="黑体" w:hAnsi="黑体" w:eastAsia="黑体"/>
          <w:sz w:val="32"/>
          <w:szCs w:val="32"/>
          <w:highlight w:val="none"/>
        </w:rPr>
        <w:t>二、部门决算单位基本情况</w:t>
      </w:r>
      <w:bookmarkEnd w:id="3"/>
    </w:p>
    <w:p>
      <w:pPr>
        <w:tabs>
          <w:tab w:val="left" w:pos="7513"/>
        </w:tabs>
        <w:adjustRightInd w:val="0"/>
        <w:spacing w:line="240" w:lineRule="auto"/>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从决算单位构成看，泉州市丰泽区职业技术教育中心</w:t>
      </w:r>
      <w:r>
        <w:rPr>
          <w:rFonts w:hint="eastAsia" w:ascii="仿宋" w:hAnsi="仿宋" w:eastAsia="仿宋" w:cs="仿宋_GB2312"/>
          <w:sz w:val="32"/>
          <w:szCs w:val="32"/>
          <w:highlight w:val="none"/>
          <w:lang w:val="en-US" w:eastAsia="zh-CN"/>
        </w:rPr>
        <w:t>无下属单位</w:t>
      </w:r>
      <w:r>
        <w:rPr>
          <w:rFonts w:hint="eastAsia" w:ascii="仿宋" w:hAnsi="仿宋" w:eastAsia="仿宋"/>
          <w:sz w:val="32"/>
          <w:szCs w:val="32"/>
          <w:highlight w:val="none"/>
        </w:rPr>
        <w:t>，其中：列入</w:t>
      </w:r>
      <w:r>
        <w:rPr>
          <w:rFonts w:hint="eastAsia" w:ascii="仿宋" w:hAnsi="仿宋" w:eastAsia="仿宋" w:cs="仿宋_GB2312"/>
          <w:sz w:val="32"/>
          <w:szCs w:val="32"/>
          <w:highlight w:val="none"/>
          <w:lang w:val="en-US" w:eastAsia="zh-CN"/>
        </w:rPr>
        <w:t>2023</w:t>
      </w:r>
      <w:r>
        <w:rPr>
          <w:rFonts w:hint="eastAsia" w:ascii="仿宋" w:hAnsi="仿宋" w:eastAsia="仿宋"/>
          <w:sz w:val="32"/>
          <w:szCs w:val="32"/>
          <w:highlight w:val="none"/>
        </w:rPr>
        <w:t>年部门决算编制范围的单位详细情况见下表</w:t>
      </w:r>
      <w:r>
        <w:rPr>
          <w:rFonts w:ascii="仿宋" w:hAnsi="仿宋" w:eastAsia="仿宋"/>
          <w:sz w:val="32"/>
          <w:szCs w:val="32"/>
          <w:highlight w:val="none"/>
        </w:rPr>
        <w:t>:</w:t>
      </w:r>
    </w:p>
    <w:tbl>
      <w:tblPr>
        <w:tblStyle w:val="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1741"/>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46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单位名称</w:t>
            </w:r>
          </w:p>
        </w:tc>
        <w:tc>
          <w:tcPr>
            <w:tcW w:w="17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仿宋_GB2312"/>
                <w:sz w:val="32"/>
                <w:szCs w:val="32"/>
                <w:highlight w:val="none"/>
              </w:rPr>
            </w:pPr>
            <w:r>
              <w:rPr>
                <w:rFonts w:hint="eastAsia" w:ascii="仿宋" w:hAnsi="仿宋" w:eastAsia="仿宋" w:cs="仿宋_GB2312"/>
                <w:sz w:val="32"/>
                <w:szCs w:val="32"/>
                <w:highlight w:val="none"/>
                <w:lang w:eastAsia="zh-CN"/>
              </w:rPr>
              <w:t>单位</w:t>
            </w:r>
            <w:r>
              <w:rPr>
                <w:rFonts w:hint="eastAsia" w:ascii="仿宋" w:hAnsi="仿宋" w:eastAsia="仿宋" w:cs="仿宋_GB2312"/>
                <w:sz w:val="32"/>
                <w:szCs w:val="32"/>
                <w:highlight w:val="none"/>
              </w:rPr>
              <w:t>性质</w:t>
            </w:r>
          </w:p>
        </w:tc>
        <w:tc>
          <w:tcPr>
            <w:tcW w:w="22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pacing w:line="240" w:lineRule="auto"/>
              <w:jc w:val="center"/>
              <w:rPr>
                <w:rFonts w:ascii="仿宋" w:hAnsi="仿宋" w:eastAsia="仿宋"/>
                <w:b/>
                <w:bCs/>
                <w:sz w:val="32"/>
                <w:szCs w:val="32"/>
                <w:highlight w:val="none"/>
              </w:rPr>
            </w:pPr>
            <w:r>
              <w:rPr>
                <w:rFonts w:hint="eastAsia" w:ascii="仿宋" w:hAnsi="仿宋" w:eastAsia="仿宋" w:cs="仿宋_GB2312"/>
                <w:sz w:val="28"/>
                <w:szCs w:val="28"/>
              </w:rPr>
              <w:t>泉州市丰泽区职业技术教育中心</w:t>
            </w:r>
          </w:p>
        </w:tc>
        <w:tc>
          <w:tcPr>
            <w:tcW w:w="1741"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pacing w:line="240" w:lineRule="auto"/>
              <w:jc w:val="center"/>
              <w:rPr>
                <w:rFonts w:ascii="仿宋" w:hAnsi="仿宋" w:eastAsia="仿宋"/>
                <w:b/>
                <w:bCs/>
                <w:sz w:val="32"/>
                <w:szCs w:val="32"/>
                <w:highlight w:val="none"/>
              </w:rPr>
            </w:pPr>
            <w:r>
              <w:rPr>
                <w:rFonts w:ascii="仿宋" w:hAnsi="仿宋" w:eastAsia="仿宋"/>
                <w:b w:val="0"/>
                <w:i w:val="0"/>
                <w:strike w:val="0"/>
                <w:color w:val="auto"/>
                <w:position w:val="-1"/>
                <w:sz w:val="24"/>
                <w:szCs w:val="20"/>
                <w:u w:val="none"/>
              </w:rPr>
              <w:t>全额拨款事业单位</w:t>
            </w:r>
          </w:p>
        </w:tc>
        <w:tc>
          <w:tcPr>
            <w:tcW w:w="2255"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pacing w:line="240" w:lineRule="auto"/>
              <w:jc w:val="center"/>
              <w:rPr>
                <w:rFonts w:hint="eastAsia"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0"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pacing w:line="240" w:lineRule="auto"/>
              <w:jc w:val="center"/>
              <w:rPr>
                <w:rFonts w:ascii="仿宋" w:hAnsi="仿宋" w:eastAsia="仿宋"/>
                <w:b/>
                <w:bCs/>
                <w:sz w:val="32"/>
                <w:szCs w:val="32"/>
                <w:highlight w:val="none"/>
              </w:rPr>
            </w:pPr>
          </w:p>
        </w:tc>
        <w:tc>
          <w:tcPr>
            <w:tcW w:w="1741"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pacing w:line="240" w:lineRule="auto"/>
              <w:jc w:val="center"/>
              <w:rPr>
                <w:rFonts w:ascii="仿宋" w:hAnsi="仿宋" w:eastAsia="仿宋"/>
                <w:b/>
                <w:bCs/>
                <w:sz w:val="32"/>
                <w:szCs w:val="32"/>
                <w:highlight w:val="none"/>
              </w:rPr>
            </w:pPr>
          </w:p>
        </w:tc>
        <w:tc>
          <w:tcPr>
            <w:tcW w:w="2255" w:type="dxa"/>
            <w:tcBorders>
              <w:top w:val="single" w:color="auto" w:sz="4" w:space="0"/>
              <w:left w:val="single" w:color="auto" w:sz="4" w:space="0"/>
              <w:bottom w:val="single" w:color="auto" w:sz="4" w:space="0"/>
              <w:right w:val="single" w:color="auto" w:sz="4" w:space="0"/>
            </w:tcBorders>
            <w:vAlign w:val="top"/>
          </w:tcPr>
          <w:p>
            <w:pPr>
              <w:tabs>
                <w:tab w:val="left" w:pos="7513"/>
              </w:tabs>
              <w:adjustRightInd w:val="0"/>
              <w:spacing w:line="240" w:lineRule="auto"/>
              <w:jc w:val="center"/>
              <w:rPr>
                <w:rFonts w:ascii="仿宋" w:hAnsi="仿宋" w:eastAsia="仿宋"/>
                <w:b/>
                <w:bCs/>
                <w:sz w:val="32"/>
                <w:szCs w:val="32"/>
                <w:highlight w:val="none"/>
              </w:rPr>
            </w:pPr>
          </w:p>
        </w:tc>
      </w:tr>
    </w:tbl>
    <w:p>
      <w:pPr>
        <w:tabs>
          <w:tab w:val="left" w:pos="7513"/>
        </w:tabs>
        <w:adjustRightInd w:val="0"/>
        <w:spacing w:line="240" w:lineRule="auto"/>
        <w:ind w:firstLine="640" w:firstLineChars="200"/>
        <w:rPr>
          <w:rFonts w:hint="default" w:ascii="仿宋" w:hAnsi="仿宋" w:eastAsia="仿宋" w:cs="仿宋_GB2312"/>
          <w:sz w:val="32"/>
          <w:szCs w:val="32"/>
          <w:highlight w:val="none"/>
        </w:rPr>
      </w:pPr>
    </w:p>
    <w:p>
      <w:pPr>
        <w:spacing w:line="240" w:lineRule="auto"/>
        <w:ind w:firstLine="640" w:firstLineChars="200"/>
        <w:outlineLvl w:val="1"/>
        <w:rPr>
          <w:rFonts w:ascii="黑体" w:hAnsi="黑体" w:eastAsia="黑体"/>
          <w:sz w:val="32"/>
          <w:szCs w:val="32"/>
          <w:highlight w:val="none"/>
        </w:rPr>
      </w:pPr>
      <w:bookmarkStart w:id="4" w:name="_Toc14160"/>
      <w:r>
        <w:rPr>
          <w:rFonts w:hint="eastAsia" w:ascii="黑体" w:hAnsi="黑体" w:eastAsia="黑体"/>
          <w:sz w:val="32"/>
          <w:szCs w:val="32"/>
          <w:highlight w:val="none"/>
        </w:rPr>
        <w:t>三、部门主要工作总结</w:t>
      </w:r>
      <w:bookmarkEnd w:id="4"/>
    </w:p>
    <w:p>
      <w:pPr>
        <w:spacing w:line="240" w:lineRule="auto"/>
        <w:ind w:firstLine="640" w:firstLineChars="200"/>
        <w:rPr>
          <w:rFonts w:ascii="仿宋" w:hAnsi="仿宋" w:eastAsia="仿宋"/>
          <w:sz w:val="32"/>
          <w:szCs w:val="32"/>
          <w:highlight w:val="none"/>
        </w:rPr>
      </w:pPr>
      <w:r>
        <w:rPr>
          <w:rFonts w:ascii="仿宋" w:hAnsi="仿宋" w:eastAsia="仿宋"/>
          <w:sz w:val="32"/>
          <w:szCs w:val="32"/>
          <w:highlight w:val="none"/>
          <w:lang w:val="en-US"/>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年，泉州市丰泽区职业技术教育中心部门主要任务是：</w:t>
      </w:r>
      <w:r>
        <w:rPr>
          <w:rFonts w:hint="eastAsia" w:ascii="仿宋" w:hAnsi="仿宋" w:eastAsia="仿宋" w:cs="仿宋_GB2312"/>
          <w:sz w:val="32"/>
          <w:szCs w:val="32"/>
        </w:rPr>
        <w:t>进一步扩大办学规模，加强师资队伍建设，更大改善办学条件，专业建设更专更精，发展创新办学模式，人才培养质量稳步提升，使我校办学实力迈向新境界。</w:t>
      </w:r>
      <w:r>
        <w:rPr>
          <w:rFonts w:hint="eastAsia" w:ascii="仿宋" w:hAnsi="仿宋" w:eastAsia="仿宋"/>
          <w:sz w:val="32"/>
          <w:szCs w:val="32"/>
          <w:highlight w:val="none"/>
        </w:rPr>
        <w:t>。围绕上述任务，重点完成了以下工作：</w:t>
      </w:r>
    </w:p>
    <w:p>
      <w:pPr>
        <w:spacing w:line="24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㈠</w:t>
      </w:r>
      <w:r>
        <w:rPr>
          <w:rFonts w:hint="eastAsia" w:ascii="仿宋" w:hAnsi="仿宋" w:eastAsia="仿宋" w:cs="仿宋"/>
          <w:i w:val="0"/>
          <w:iCs w:val="0"/>
          <w:caps w:val="0"/>
          <w:color w:val="000000" w:themeColor="text1"/>
          <w:spacing w:val="0"/>
          <w:sz w:val="30"/>
          <w:szCs w:val="30"/>
          <w:shd w:val="clear" w:fill="FFFFFF"/>
          <w:vertAlign w:val="baseline"/>
          <w:lang w:val="en-US" w:eastAsia="zh-CN"/>
          <w14:textFill>
            <w14:solidFill>
              <w14:schemeClr w14:val="tx1"/>
            </w14:solidFill>
          </w14:textFill>
        </w:rPr>
        <w:t>学校被评选为泉州市“三全育人”典型学校。顺利通过“泉州市文明学校”评估，通过“福建省信息技术应用能力提升工程 2.0 试点校”验收。正积极申报创建“泉州市职业学校产教融合特色专业群”</w:t>
      </w:r>
      <w:r>
        <w:rPr>
          <w:rFonts w:hint="eastAsia" w:ascii="仿宋" w:hAnsi="仿宋" w:eastAsia="仿宋"/>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㈡搭建平台，以赛促建，培育专业化高素质班主任队伍</w:t>
      </w:r>
      <w:r>
        <w:rPr>
          <w:rFonts w:hint="eastAsia" w:ascii="仿宋" w:hAnsi="仿宋" w:eastAsia="仿宋"/>
          <w:sz w:val="32"/>
          <w:szCs w:val="32"/>
          <w:highlight w:val="none"/>
        </w:rPr>
        <w:t>。加强班主任的业务能力提升培训</w:t>
      </w:r>
      <w:r>
        <w:rPr>
          <w:rFonts w:hint="eastAsia" w:ascii="仿宋" w:hAnsi="仿宋" w:eastAsia="仿宋"/>
          <w:sz w:val="32"/>
          <w:szCs w:val="32"/>
          <w:highlight w:val="none"/>
          <w:lang w:eastAsia="zh-CN"/>
        </w:rPr>
        <w:t>；狠抓班主任业务能力比赛，</w:t>
      </w:r>
      <w:r>
        <w:rPr>
          <w:rFonts w:hint="eastAsia" w:ascii="仿宋" w:hAnsi="仿宋" w:eastAsia="仿宋" w:cs="仿宋"/>
          <w:b w:val="0"/>
          <w:bCs w:val="0"/>
          <w:sz w:val="30"/>
          <w:szCs w:val="30"/>
          <w:lang w:val="en-US" w:eastAsia="zh-CN"/>
        </w:rPr>
        <w:t>5由林文亮副校长、张龙辉和陈景珍老师组成团队代表学校参加泉州市班主任业务能力比赛并推荐省赛荣获三等奖；成立了以林文亮副校长领衔的“点亮人生”校级班主任工作室，，推动申报创建省级、市级“名班主任工作室”， 为提升全校班主任工作水平做出贡献，已推荐省级。</w:t>
      </w:r>
    </w:p>
    <w:p>
      <w:pPr>
        <w:spacing w:line="240" w:lineRule="auto"/>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㈢聚焦高效课堂，以改革促发展，教学质量持续提升</w:t>
      </w:r>
      <w:r>
        <w:rPr>
          <w:rFonts w:hint="eastAsia" w:ascii="仿宋" w:hAnsi="仿宋" w:eastAsia="仿宋"/>
          <w:sz w:val="32"/>
          <w:szCs w:val="32"/>
          <w:highlight w:val="none"/>
        </w:rPr>
        <w:t>。立足教学常规，建构有效课堂</w:t>
      </w:r>
      <w:r>
        <w:rPr>
          <w:rFonts w:hint="eastAsia" w:ascii="仿宋" w:hAnsi="仿宋" w:eastAsia="仿宋"/>
          <w:sz w:val="32"/>
          <w:szCs w:val="32"/>
          <w:highlight w:val="none"/>
          <w:lang w:eastAsia="zh-CN"/>
        </w:rPr>
        <w:t>。</w:t>
      </w:r>
      <w:r>
        <w:rPr>
          <w:rFonts w:hint="eastAsia" w:ascii="仿宋" w:hAnsi="仿宋" w:eastAsia="仿宋"/>
          <w:sz w:val="32"/>
          <w:szCs w:val="32"/>
          <w:highlight w:val="none"/>
        </w:rPr>
        <w:t>抓紧常规管理，确保学生主体</w:t>
      </w:r>
      <w:r>
        <w:rPr>
          <w:rFonts w:hint="eastAsia" w:ascii="仿宋" w:hAnsi="仿宋" w:eastAsia="仿宋"/>
          <w:sz w:val="32"/>
          <w:szCs w:val="32"/>
          <w:highlight w:val="none"/>
          <w:lang w:eastAsia="zh-CN"/>
        </w:rPr>
        <w:t>；建立督导制度，完善听评课制度；聚焦学考，有序组织各类考试；加强教学研究，构建教研平台；规范教案设计，提升作业成效；开展教学改革，推行分层教学和统考制。</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㈣戳力开展课题研究，构建科研实践平台。本学年共有1个省级课题结题、4个区级课题完成中期检查，5个校级课题顺利结题，发表校级论文23篇，区级论文6篇，市级论文2篇，CN论文13篇、专利2项，省级优秀论文二等级1个。</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㈤开展信息研修2.0培训，构建高效课堂。</w:t>
      </w:r>
      <w:r>
        <w:rPr>
          <w:rFonts w:hint="eastAsia" w:ascii="仿宋" w:hAnsi="仿宋" w:eastAsia="仿宋"/>
          <w:sz w:val="32"/>
          <w:szCs w:val="32"/>
          <w:highlight w:val="none"/>
          <w:lang w:val="en-US" w:eastAsia="zh-CN"/>
        </w:rPr>
        <w:t>学校积极开展信息技术应用能力提升工程 2.0 校本培训，采用了“集中培训、交流研讨、线上学习+线下实践、互学互评、展示提升”五段式的研修模式。顺利通过“福建省信息技术应用能力提升工程 2.0 试点校”验收。</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㈥</w:t>
      </w:r>
      <w:r>
        <w:rPr>
          <w:rFonts w:hint="eastAsia" w:ascii="仿宋" w:hAnsi="仿宋" w:eastAsia="仿宋"/>
          <w:sz w:val="32"/>
          <w:szCs w:val="32"/>
          <w:highlight w:val="none"/>
          <w:lang w:val="en-US" w:eastAsia="zh-CN"/>
        </w:rPr>
        <w:t>强化教师队伍建设，构建高水平师资团队着力开展新教师培养，学期初开展新教师培训、16对新老师教师结对会，其中听评课培训、教师教学能力比赛培训、线上授课培训、课题研究阶段总结和培训等师资培训活动。2023年6月学校选拔推荐10名区级骨干教师和3名学科带头人进入评审。</w:t>
      </w:r>
      <w:r>
        <w:rPr>
          <w:rFonts w:hint="eastAsia" w:ascii="仿宋" w:hAnsi="仿宋" w:eastAsia="仿宋"/>
          <w:sz w:val="32"/>
          <w:szCs w:val="32"/>
          <w:highlight w:val="none"/>
          <w:lang w:eastAsia="zh-CN"/>
        </w:rPr>
        <w:t>整合资源，凝聚合力，师生在各级各类竞赛中绽放光彩</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学校狠抓师生的各级各类比赛，提出了“有赛必参、有奖必夺”的要求。做到“以赛促教、以赛 促学、以赛促研，以赛促建”</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1.2023年6月班主任业务能力比赛获得省赛三等奖。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2.2023年6月我校选送的电商组和旅游组2个作品顺利突围市级选拔进入省级决赛。</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3.在福建省第五届中华经典诵读大赛泉州市选拔赛，我校夺得泉州市三等奖职业院校组三等奖。指导老师：郑斌斌，王一青。</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4.我校推荐林文亮、王小红、吴清芳入选“泉州市职业院校德育与思政工作专家库”。</w:t>
      </w:r>
    </w:p>
    <w:p>
      <w:pPr>
        <w:spacing w:line="240" w:lineRule="auto"/>
        <w:ind w:firstLine="640" w:firstLineChars="200"/>
        <w:jc w:val="left"/>
        <w:outlineLvl w:val="2"/>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5.陈航、陈小芳指导电商专业学生技能竞赛获得省赛三等奖；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俞晓媛、许少峰指导建筑专业学生技能竞赛获得省赛三等奖；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陈景珍、杨丽华指导的旅游专业学生技能竞赛获省赛二等奖。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6.在丰泽区第三届“墨香丰泽 强国复兴有我”比赛中，我校谢思蓉同学荣获毛笔三等奖（指导老师：陈梦蕊），黄君临荣获硬笔优秀奖（指导老师：王一青）。</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7.在丰泽区“丝路花儿·艺见未来”青少年儿童艺术风采展示活动中，冯昀昕同学荣获声乐专项二等奖，指导老师：赖小燕；</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黄冰滢同学荣获声乐专项三等奖，指导老师：黄芳平；</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李煜焓同学荣获声乐专项三等奖，指导老师：黄芳平；</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黄欣同学荣获声乐专项三等奖，指导老师：赖小燕；</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魏佳怡同学荣获软笔书法三等奖，指导老师：郑苹苹；</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陈祺同学荣获绘画二等奖，指导老师：陈梦蕊；</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刘丹、黄诗瑶同学荣获绘画三等奖，指导老师：林德强。</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8.5月20日我校烹饪专业首次开展了食品雕刻专业能力鉴定考试，参与鉴定的学生有98人，92人顺利通过了考试。</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6月上旬电子商务专业开展了1+X职业资格证书的鉴定工作，参与鉴定的学生为40人次，全员通过考核鉴定。</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建立竞赛长效机制，推进师生技能竞赛备赛集训常态化。旅游组率先成立了技能竞赛备赛集训团队，建立指导和技能竞赛集训梯队，做到以老带新，指导教师、学生共同学习交流，共同提高。</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㈦整合资源，凝聚合力，师生在各级各类竞赛中绽放光彩</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1.2023年6月班主任业务能力比赛获得省赛三等奖。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2.2023年6月我校选送的电商组和旅游组2个作品顺利突围市级选拔进入省级决赛。</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3.在福建省第五届中华经典诵读大赛泉州市选拔赛，我校夺得泉州市三等奖职业院校组三等奖。指导老师：郑斌斌，王一青。</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4.我校推荐林文亮、王小红、吴清芳入选“泉州市职业院校德育与思政工作专家库”。</w:t>
      </w:r>
    </w:p>
    <w:p>
      <w:pPr>
        <w:spacing w:line="240" w:lineRule="auto"/>
        <w:ind w:firstLine="640" w:firstLineChars="200"/>
        <w:jc w:val="left"/>
        <w:outlineLvl w:val="2"/>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5.陈航、陈小芳指导电商专业学生技能竞赛获得省赛三等奖；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俞晓媛、许少峰指导建筑专业学生技能竞赛获得省赛三等奖；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陈景珍、杨丽华指导的旅游专业学生技能竞赛获省赛二等奖。</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6.在丰泽区第三届“墨香丰泽 强国复兴有我”比赛中，我校谢思蓉同学荣获毛笔三等奖（指导老师：陈梦蕊），黄君临荣获硬笔优秀奖（指导老师：王一青）。</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7.在丰泽区“丝路花儿·艺见未来”青少年儿童艺术风采展示活动中，冯昀昕同学荣获声乐专项二等奖，指导老师：赖小燕；</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黄冰滢同学荣获声乐专项三等奖，指导老师：黄芳平；</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李煜焓同学荣获声乐专项三等奖，指导老师：黄芳平；</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黄欣同学荣获声乐专项三等奖，指导老师：赖小燕；</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魏佳怡同学荣获软笔书法三等奖，指导老师：郑苹苹；</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陈祺同学荣获绘画二等奖，指导老师：陈梦蕊；</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刘丹、黄诗瑶同学荣获绘画三等奖，指导老师：林德强。</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8.5月20日我校烹饪专业首次开展了食品雕刻专业能力鉴定考试，参与鉴定的学生有98人，92人顺利通过了考试。</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6月上旬电子商务专业开展了1+X职业资格证书的鉴定工作，参与鉴定的学生为40人次，全员通过考核鉴定。</w:t>
      </w:r>
    </w:p>
    <w:p>
      <w:pPr>
        <w:spacing w:line="240" w:lineRule="auto"/>
        <w:ind w:firstLine="640" w:firstLineChars="20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㈧践行梦想，绽放芳华，开展职业教育成果展示及招生宣传工作。为响应国家"职业教育活动周"，彰显学校办学特色和办学实力，自5月9日起至今，我校把职教活动周延伸为技能活动月，开展了一系列丰富多彩的职业教育成果展示暨招生宣传活动。</w:t>
      </w:r>
    </w:p>
    <w:p>
      <w:pPr>
        <w:spacing w:line="240"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lang w:eastAsia="zh-CN"/>
        </w:rPr>
        <w:t>㈨加快基础能力建设，增强学校办学实力。加大基础能力建设，提升办学条件及办学实力。实训大楼于2022年12月18日破土动工，目前已于今年6月28日顺利封顶，预计将在2024年春节正式投入使用，争取了地方债券资金4000万元用于建设。将建设成为泉州市产教融合文旅产业人才实训基地。正在申请2000万元，将用于建设新校大门、改造教学楼、实训楼外立面，建设塑胶运动场等附属配套工程。另已争取到学校后门外近18亩的规划建设用地，已正式划拨给我校，需要征迁，将建设新的运动场、体育馆、第二实训教学楼、第三学生公寓。为解决和缓解当前办学空间不足，学校正在协调租用离学校100米处的原大唐幼儿园，作为学校办学点。</w:t>
      </w:r>
    </w:p>
    <w:p>
      <w:pPr>
        <w:spacing w:line="240" w:lineRule="auto"/>
        <w:jc w:val="center"/>
        <w:rPr>
          <w:rFonts w:hint="eastAsia" w:ascii="黑体" w:hAnsi="黑体" w:eastAsia="黑体"/>
          <w:sz w:val="36"/>
          <w:szCs w:val="36"/>
          <w:highlight w:val="none"/>
        </w:rPr>
      </w:pPr>
      <w:r>
        <w:rPr>
          <w:rFonts w:hint="eastAsia" w:ascii="黑体" w:hAnsi="黑体" w:eastAsia="黑体"/>
          <w:sz w:val="36"/>
          <w:szCs w:val="36"/>
          <w:highlight w:val="none"/>
        </w:rPr>
        <w:br w:type="page"/>
      </w:r>
    </w:p>
    <w:p>
      <w:pPr>
        <w:spacing w:line="240" w:lineRule="auto"/>
        <w:jc w:val="center"/>
        <w:rPr>
          <w:rFonts w:hint="eastAsia" w:ascii="黑体" w:hAnsi="黑体" w:eastAsia="黑体"/>
          <w:sz w:val="36"/>
          <w:szCs w:val="36"/>
          <w:highlight w:val="none"/>
        </w:rPr>
      </w:pPr>
    </w:p>
    <w:p>
      <w:pPr>
        <w:spacing w:line="240" w:lineRule="auto"/>
        <w:jc w:val="center"/>
        <w:rPr>
          <w:rFonts w:hint="eastAsia" w:ascii="黑体" w:hAnsi="黑体" w:eastAsia="黑体"/>
          <w:sz w:val="36"/>
          <w:szCs w:val="36"/>
          <w:highlight w:val="none"/>
        </w:rPr>
      </w:pPr>
    </w:p>
    <w:p>
      <w:pPr>
        <w:spacing w:line="240" w:lineRule="auto"/>
        <w:jc w:val="center"/>
        <w:rPr>
          <w:rFonts w:hint="eastAsia" w:ascii="黑体" w:hAnsi="黑体" w:eastAsia="黑体"/>
          <w:sz w:val="36"/>
          <w:szCs w:val="36"/>
          <w:highlight w:val="none"/>
        </w:rPr>
      </w:pPr>
    </w:p>
    <w:p>
      <w:pPr>
        <w:spacing w:line="240" w:lineRule="auto"/>
        <w:jc w:val="center"/>
        <w:rPr>
          <w:rFonts w:hint="eastAsia" w:ascii="黑体" w:hAnsi="黑体" w:eastAsia="黑体"/>
          <w:sz w:val="36"/>
          <w:szCs w:val="36"/>
          <w:highlight w:val="none"/>
        </w:rPr>
      </w:pPr>
    </w:p>
    <w:p>
      <w:pPr>
        <w:spacing w:line="240" w:lineRule="auto"/>
        <w:jc w:val="center"/>
        <w:rPr>
          <w:rFonts w:hint="eastAsia" w:ascii="黑体" w:hAnsi="黑体" w:eastAsia="黑体"/>
          <w:sz w:val="36"/>
          <w:szCs w:val="36"/>
          <w:highlight w:val="none"/>
        </w:rPr>
      </w:pPr>
    </w:p>
    <w:p>
      <w:pPr>
        <w:spacing w:line="240" w:lineRule="auto"/>
        <w:jc w:val="center"/>
        <w:rPr>
          <w:rFonts w:hint="eastAsia" w:ascii="黑体" w:hAnsi="黑体" w:eastAsia="黑体"/>
          <w:sz w:val="36"/>
          <w:szCs w:val="36"/>
          <w:highlight w:val="none"/>
        </w:rPr>
      </w:pPr>
    </w:p>
    <w:p>
      <w:pPr>
        <w:spacing w:line="240" w:lineRule="auto"/>
        <w:jc w:val="center"/>
        <w:rPr>
          <w:rFonts w:hint="eastAsia" w:ascii="黑体" w:hAnsi="黑体" w:eastAsia="黑体"/>
          <w:sz w:val="36"/>
          <w:szCs w:val="36"/>
          <w:highlight w:val="none"/>
        </w:rPr>
      </w:pPr>
    </w:p>
    <w:p>
      <w:pPr>
        <w:spacing w:line="240" w:lineRule="auto"/>
        <w:jc w:val="center"/>
        <w:outlineLvl w:val="0"/>
        <w:rPr>
          <w:rFonts w:ascii="黑体" w:hAnsi="黑体" w:eastAsia="黑体"/>
          <w:b/>
          <w:bCs/>
          <w:sz w:val="44"/>
          <w:szCs w:val="44"/>
          <w:highlight w:val="none"/>
        </w:rPr>
      </w:pPr>
      <w:bookmarkStart w:id="5" w:name="_Toc14874"/>
      <w:r>
        <w:rPr>
          <w:rFonts w:hint="eastAsia" w:ascii="黑体" w:hAnsi="黑体" w:eastAsia="黑体"/>
          <w:b/>
          <w:bCs/>
          <w:sz w:val="44"/>
          <w:szCs w:val="44"/>
          <w:highlight w:val="none"/>
        </w:rPr>
        <w:t>第二部分</w:t>
      </w:r>
      <w:r>
        <w:rPr>
          <w:rFonts w:ascii="黑体" w:hAnsi="黑体" w:eastAsia="黑体"/>
          <w:b/>
          <w:bCs/>
          <w:sz w:val="44"/>
          <w:szCs w:val="44"/>
          <w:highlight w:val="none"/>
        </w:rPr>
        <w:t xml:space="preserve"> </w:t>
      </w:r>
      <w:r>
        <w:rPr>
          <w:rFonts w:ascii="黑体" w:hAnsi="黑体" w:eastAsia="黑体"/>
          <w:b/>
          <w:bCs/>
          <w:sz w:val="44"/>
          <w:szCs w:val="44"/>
          <w:highlight w:val="none"/>
          <w:lang w:val="en-US"/>
        </w:rPr>
        <w:t>202</w:t>
      </w:r>
      <w:r>
        <w:rPr>
          <w:rFonts w:hint="eastAsia" w:ascii="黑体" w:hAnsi="黑体" w:eastAsia="黑体"/>
          <w:b/>
          <w:bCs/>
          <w:sz w:val="44"/>
          <w:szCs w:val="44"/>
          <w:highlight w:val="none"/>
          <w:lang w:val="en-US" w:eastAsia="zh-CN"/>
        </w:rPr>
        <w:t>3</w:t>
      </w:r>
      <w:r>
        <w:rPr>
          <w:rFonts w:hint="eastAsia" w:ascii="黑体" w:hAnsi="黑体" w:eastAsia="黑体"/>
          <w:b/>
          <w:bCs/>
          <w:sz w:val="44"/>
          <w:szCs w:val="44"/>
          <w:highlight w:val="none"/>
        </w:rPr>
        <w:t>年度部门决算表</w:t>
      </w:r>
      <w:bookmarkEnd w:id="5"/>
    </w:p>
    <w:p>
      <w:pPr>
        <w:pStyle w:val="6"/>
        <w:spacing w:line="240" w:lineRule="auto"/>
        <w:ind w:firstLine="0" w:firstLineChars="0"/>
        <w:outlineLvl w:val="1"/>
        <w:rPr>
          <w:rFonts w:hint="eastAsia" w:ascii="仿宋" w:hAnsi="仿宋" w:eastAsia="仿宋"/>
          <w:sz w:val="32"/>
          <w:szCs w:val="32"/>
          <w:highlight w:val="none"/>
        </w:rPr>
      </w:pPr>
      <w:r>
        <w:rPr>
          <w:rFonts w:ascii="黑体" w:hAnsi="黑体" w:eastAsia="黑体"/>
          <w:sz w:val="32"/>
          <w:szCs w:val="32"/>
          <w:highlight w:val="none"/>
        </w:rPr>
        <w:br w:type="page"/>
      </w:r>
      <w:bookmarkStart w:id="6" w:name="_Toc21434"/>
      <w:r>
        <w:rPr>
          <w:rFonts w:hint="eastAsia" w:ascii="仿宋" w:hAnsi="仿宋" w:eastAsia="仿宋"/>
          <w:sz w:val="32"/>
          <w:szCs w:val="32"/>
          <w:highlight w:val="none"/>
        </w:rPr>
        <w:t>一、收</w:t>
      </w:r>
      <w:r>
        <w:rPr>
          <w:rFonts w:hint="eastAsia" w:ascii="仿宋" w:hAnsi="仿宋" w:eastAsia="仿宋"/>
          <w:sz w:val="32"/>
          <w:szCs w:val="32"/>
          <w:highlight w:val="none"/>
          <w:lang w:eastAsia="zh-CN"/>
        </w:rPr>
        <w:t>入</w:t>
      </w:r>
      <w:r>
        <w:rPr>
          <w:rFonts w:hint="eastAsia" w:ascii="仿宋" w:hAnsi="仿宋" w:eastAsia="仿宋"/>
          <w:sz w:val="32"/>
          <w:szCs w:val="32"/>
          <w:highlight w:val="none"/>
        </w:rPr>
        <w:t>支</w:t>
      </w:r>
      <w:r>
        <w:rPr>
          <w:rFonts w:hint="eastAsia" w:ascii="仿宋" w:hAnsi="仿宋" w:eastAsia="仿宋"/>
          <w:sz w:val="32"/>
          <w:szCs w:val="32"/>
          <w:highlight w:val="none"/>
          <w:lang w:eastAsia="zh-CN"/>
        </w:rPr>
        <w:t>出</w:t>
      </w:r>
      <w:r>
        <w:rPr>
          <w:rFonts w:hint="eastAsia" w:ascii="仿宋" w:hAnsi="仿宋" w:eastAsia="仿宋"/>
          <w:sz w:val="32"/>
          <w:szCs w:val="32"/>
          <w:highlight w:val="none"/>
        </w:rPr>
        <w:t>决算总表</w:t>
      </w:r>
      <w:bookmarkEnd w:id="6"/>
    </w:p>
    <w:p>
      <w:pPr>
        <w:spacing w:line="240" w:lineRule="auto"/>
        <w:jc w:val="center"/>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收支决算总表</w:t>
      </w:r>
    </w:p>
    <w:p>
      <w:pPr>
        <w:spacing w:line="240" w:lineRule="auto"/>
        <w:jc w:val="both"/>
        <w:rPr>
          <w:rFonts w:hint="eastAsia" w:ascii="宋体" w:hAnsi="宋体"/>
          <w:sz w:val="24"/>
          <w:szCs w:val="24"/>
          <w:highlight w:val="none"/>
        </w:rPr>
      </w:pPr>
      <w:r>
        <w:rPr>
          <w:rFonts w:hint="eastAsia" w:ascii="宋体" w:hAnsi="宋体" w:eastAsia="宋体" w:cs="Arial"/>
          <w:color w:val="000000"/>
          <w:kern w:val="0"/>
          <w:sz w:val="22"/>
          <w:highlight w:val="none"/>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eastAsia="zh-CN"/>
        </w:rPr>
        <w:t>公开</w:t>
      </w:r>
      <w:r>
        <w:rPr>
          <w:rFonts w:hint="eastAsia" w:ascii="宋体" w:hAnsi="宋体" w:eastAsia="宋体" w:cs="Arial"/>
          <w:color w:val="000000"/>
          <w:kern w:val="0"/>
          <w:sz w:val="22"/>
          <w:highlight w:val="none"/>
          <w:lang w:val="en-US" w:eastAsia="zh-CN"/>
        </w:rPr>
        <w:t xml:space="preserve">01表 </w:t>
      </w:r>
      <w:r>
        <w:rPr>
          <w:rFonts w:hint="eastAsia" w:ascii="宋体" w:hAnsi="宋体" w:eastAsia="宋体" w:cs="Arial"/>
          <w:color w:val="000000"/>
          <w:kern w:val="0"/>
          <w:sz w:val="22"/>
          <w:highlight w:val="none"/>
        </w:rPr>
        <w:t>单位：万元</w:t>
      </w:r>
    </w:p>
    <w:tbl>
      <w:tblPr>
        <w:tblStyle w:val="4"/>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2"/>
        <w:gridCol w:w="1251"/>
        <w:gridCol w:w="3506"/>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53" w:type="dxa"/>
            <w:gridSpan w:val="2"/>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收  入</w:t>
            </w:r>
          </w:p>
        </w:tc>
        <w:tc>
          <w:tcPr>
            <w:tcW w:w="4749" w:type="dxa"/>
            <w:gridSpan w:val="2"/>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项目</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决算数</w:t>
            </w: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项目(按支出功能分类)</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一、</w:t>
            </w:r>
            <w:r>
              <w:rPr>
                <w:rFonts w:hint="eastAsia" w:ascii="宋体" w:hAnsi="宋体" w:cs="Arial"/>
                <w:color w:val="000000"/>
                <w:kern w:val="0"/>
                <w:sz w:val="18"/>
                <w:szCs w:val="18"/>
                <w:highlight w:val="none"/>
                <w:lang w:eastAsia="zh-CN"/>
              </w:rPr>
              <w:t>一般公共预算</w:t>
            </w:r>
            <w:r>
              <w:rPr>
                <w:rFonts w:hint="eastAsia" w:ascii="宋体" w:hAnsi="宋体" w:cs="Arial"/>
                <w:color w:val="000000"/>
                <w:kern w:val="0"/>
                <w:sz w:val="18"/>
                <w:szCs w:val="18"/>
                <w:highlight w:val="none"/>
              </w:rPr>
              <w:t>财政拨款</w:t>
            </w:r>
            <w:r>
              <w:rPr>
                <w:rFonts w:hint="eastAsia" w:ascii="宋体" w:hAnsi="宋体" w:cs="Arial"/>
                <w:color w:val="000000"/>
                <w:kern w:val="0"/>
                <w:sz w:val="18"/>
                <w:szCs w:val="18"/>
                <w:highlight w:val="none"/>
                <w:lang w:eastAsia="zh-CN"/>
              </w:rPr>
              <w:t>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116.46</w:t>
            </w: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一、一般公共服务支出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二、</w:t>
            </w:r>
            <w:r>
              <w:rPr>
                <w:rFonts w:hint="eastAsia" w:ascii="宋体" w:hAnsi="宋体" w:cs="Arial"/>
                <w:color w:val="000000"/>
                <w:kern w:val="0"/>
                <w:sz w:val="18"/>
                <w:szCs w:val="18"/>
                <w:highlight w:val="none"/>
                <w:lang w:eastAsia="zh-CN"/>
              </w:rPr>
              <w:t>政府性基金预算财政拨款收入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二、外交支出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cs="Arial"/>
                <w:color w:val="000000"/>
                <w:kern w:val="0"/>
                <w:sz w:val="18"/>
                <w:szCs w:val="18"/>
                <w:highlight w:val="none"/>
                <w:lang w:eastAsia="zh-CN"/>
              </w:rPr>
            </w:pPr>
            <w:r>
              <w:rPr>
                <w:rFonts w:hint="eastAsia" w:ascii="宋体" w:hAnsi="宋体" w:cs="Arial"/>
                <w:color w:val="000000"/>
                <w:kern w:val="0"/>
                <w:sz w:val="18"/>
                <w:szCs w:val="18"/>
                <w:highlight w:val="none"/>
                <w:lang w:eastAsia="zh-CN"/>
              </w:rPr>
              <w:t>国有资本经营预算财政拨款收入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三、国防支出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四</w:t>
            </w:r>
            <w:r>
              <w:rPr>
                <w:rFonts w:hint="eastAsia" w:ascii="宋体" w:hAnsi="宋体" w:cs="Arial"/>
                <w:color w:val="000000"/>
                <w:kern w:val="0"/>
                <w:sz w:val="18"/>
                <w:szCs w:val="18"/>
                <w:highlight w:val="none"/>
              </w:rPr>
              <w:t>、上级补助收入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四、公共安全支出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五</w:t>
            </w:r>
            <w:r>
              <w:rPr>
                <w:rFonts w:hint="eastAsia" w:ascii="宋体" w:hAnsi="宋体" w:cs="Arial"/>
                <w:color w:val="000000"/>
                <w:kern w:val="0"/>
                <w:sz w:val="18"/>
                <w:szCs w:val="18"/>
                <w:highlight w:val="none"/>
              </w:rPr>
              <w:t>、事业收入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五、教育支出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208.20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六</w:t>
            </w:r>
            <w:r>
              <w:rPr>
                <w:rFonts w:hint="eastAsia" w:ascii="宋体" w:hAnsi="宋体" w:cs="Arial"/>
                <w:color w:val="000000"/>
                <w:kern w:val="0"/>
                <w:sz w:val="18"/>
                <w:szCs w:val="18"/>
                <w:highlight w:val="none"/>
              </w:rPr>
              <w:t>、经营收入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六、科学技术支出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七</w:t>
            </w:r>
            <w:r>
              <w:rPr>
                <w:rFonts w:hint="eastAsia" w:ascii="宋体" w:hAnsi="宋体" w:cs="Arial"/>
                <w:color w:val="000000"/>
                <w:kern w:val="0"/>
                <w:sz w:val="18"/>
                <w:szCs w:val="18"/>
                <w:highlight w:val="none"/>
              </w:rPr>
              <w:t>、附属单位</w:t>
            </w:r>
            <w:r>
              <w:rPr>
                <w:rFonts w:hint="eastAsia" w:ascii="宋体" w:hAnsi="宋体" w:cs="Arial"/>
                <w:color w:val="000000"/>
                <w:kern w:val="0"/>
                <w:sz w:val="18"/>
                <w:szCs w:val="18"/>
                <w:highlight w:val="none"/>
                <w:lang w:eastAsia="zh-CN"/>
              </w:rPr>
              <w:t>上</w:t>
            </w:r>
            <w:r>
              <w:rPr>
                <w:rFonts w:hint="eastAsia" w:ascii="宋体" w:hAnsi="宋体" w:cs="Arial"/>
                <w:color w:val="000000"/>
                <w:kern w:val="0"/>
                <w:sz w:val="18"/>
                <w:szCs w:val="18"/>
                <w:highlight w:val="none"/>
              </w:rPr>
              <w:t>缴</w:t>
            </w:r>
            <w:r>
              <w:rPr>
                <w:rFonts w:hint="eastAsia" w:ascii="宋体" w:hAnsi="宋体" w:cs="Arial"/>
                <w:color w:val="000000"/>
                <w:kern w:val="0"/>
                <w:sz w:val="18"/>
                <w:szCs w:val="18"/>
                <w:highlight w:val="none"/>
                <w:lang w:eastAsia="zh-CN"/>
              </w:rPr>
              <w:t>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七、文化</w:t>
            </w:r>
            <w:r>
              <w:rPr>
                <w:rFonts w:hint="eastAsia" w:ascii="宋体" w:hAnsi="宋体" w:cs="Arial"/>
                <w:color w:val="000000"/>
                <w:kern w:val="0"/>
                <w:sz w:val="18"/>
                <w:szCs w:val="18"/>
                <w:highlight w:val="none"/>
                <w:lang w:eastAsia="zh-CN"/>
              </w:rPr>
              <w:t>旅游体育</w:t>
            </w:r>
            <w:r>
              <w:rPr>
                <w:rFonts w:hint="eastAsia" w:ascii="宋体" w:hAnsi="宋体" w:cs="Arial"/>
                <w:color w:val="000000"/>
                <w:kern w:val="0"/>
                <w:sz w:val="18"/>
                <w:szCs w:val="18"/>
                <w:highlight w:val="none"/>
              </w:rPr>
              <w:t>与传媒支出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Arial"/>
                <w:color w:val="000000"/>
                <w:kern w:val="0"/>
                <w:sz w:val="18"/>
                <w:szCs w:val="18"/>
                <w:highlight w:val="none"/>
                <w:lang w:eastAsia="zh-CN"/>
              </w:rPr>
            </w:pPr>
            <w:r>
              <w:rPr>
                <w:rFonts w:hint="eastAsia" w:ascii="宋体" w:hAnsi="宋体" w:cs="Arial"/>
                <w:color w:val="000000"/>
                <w:kern w:val="0"/>
                <w:sz w:val="18"/>
                <w:szCs w:val="18"/>
                <w:highlight w:val="none"/>
                <w:lang w:eastAsia="zh-CN"/>
              </w:rPr>
              <w:t>八、其他收入</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0.01</w:t>
            </w: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八、社会保障和就业支出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九、</w:t>
            </w:r>
            <w:r>
              <w:rPr>
                <w:rFonts w:hint="eastAsia" w:ascii="宋体" w:hAnsi="宋体" w:cs="Arial"/>
                <w:color w:val="000000"/>
                <w:kern w:val="0"/>
                <w:sz w:val="18"/>
                <w:szCs w:val="18"/>
                <w:highlight w:val="none"/>
                <w:lang w:eastAsia="zh-CN"/>
              </w:rPr>
              <w:t>卫生健康支出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十、节能环保支出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十一、城乡社区支出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十二、农林水支出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十三、交通运输支出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十四、资源勘探信息等支出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十五、商业服务业等支出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十六、金融支出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十七、援助其他地区支出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十八、</w:t>
            </w:r>
            <w:r>
              <w:rPr>
                <w:rFonts w:hint="eastAsia" w:ascii="宋体" w:hAnsi="宋体" w:cs="Arial"/>
                <w:color w:val="000000"/>
                <w:kern w:val="0"/>
                <w:sz w:val="18"/>
                <w:szCs w:val="18"/>
                <w:highlight w:val="none"/>
                <w:lang w:eastAsia="zh-CN"/>
              </w:rPr>
              <w:t>自然资源海洋</w:t>
            </w:r>
            <w:r>
              <w:rPr>
                <w:rFonts w:hint="eastAsia" w:ascii="宋体" w:hAnsi="宋体" w:cs="Arial"/>
                <w:color w:val="000000"/>
                <w:kern w:val="0"/>
                <w:sz w:val="18"/>
                <w:szCs w:val="18"/>
                <w:highlight w:val="none"/>
              </w:rPr>
              <w:t>气象等支出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十九、住房保障支出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二十、粮油物资储备支出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eastAsia="宋体" w:cs="Arial"/>
                <w:color w:val="000000"/>
                <w:kern w:val="0"/>
                <w:sz w:val="18"/>
                <w:szCs w:val="18"/>
                <w:highlight w:val="none"/>
                <w:lang w:eastAsia="zh-CN"/>
              </w:rPr>
            </w:pPr>
            <w:r>
              <w:rPr>
                <w:rFonts w:hint="eastAsia" w:ascii="宋体" w:hAnsi="宋体" w:cs="Arial"/>
                <w:color w:val="000000"/>
                <w:kern w:val="0"/>
                <w:sz w:val="18"/>
                <w:szCs w:val="18"/>
                <w:highlight w:val="none"/>
                <w:lang w:eastAsia="zh-CN"/>
              </w:rPr>
              <w:t>二十一、国有资本经营预算支出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二十二、灾害防治及应急管理支出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二十</w:t>
            </w:r>
            <w:r>
              <w:rPr>
                <w:rFonts w:hint="eastAsia" w:ascii="宋体" w:hAnsi="宋体" w:cs="Arial"/>
                <w:color w:val="000000"/>
                <w:kern w:val="0"/>
                <w:sz w:val="18"/>
                <w:szCs w:val="18"/>
                <w:highlight w:val="none"/>
                <w:lang w:eastAsia="zh-CN"/>
              </w:rPr>
              <w:t>三</w:t>
            </w:r>
            <w:r>
              <w:rPr>
                <w:rFonts w:hint="eastAsia" w:ascii="宋体" w:hAnsi="宋体" w:cs="Arial"/>
                <w:color w:val="000000"/>
                <w:kern w:val="0"/>
                <w:sz w:val="18"/>
                <w:szCs w:val="18"/>
                <w:highlight w:val="none"/>
              </w:rPr>
              <w:t>、其他支出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二十</w:t>
            </w:r>
            <w:r>
              <w:rPr>
                <w:rFonts w:hint="eastAsia" w:ascii="宋体" w:hAnsi="宋体" w:cs="Arial"/>
                <w:color w:val="000000"/>
                <w:kern w:val="0"/>
                <w:sz w:val="18"/>
                <w:szCs w:val="18"/>
                <w:highlight w:val="none"/>
                <w:lang w:eastAsia="zh-CN"/>
              </w:rPr>
              <w:t>四</w:t>
            </w:r>
            <w:r>
              <w:rPr>
                <w:rFonts w:hint="eastAsia" w:ascii="宋体" w:hAnsi="宋体" w:cs="Arial"/>
                <w:color w:val="000000"/>
                <w:kern w:val="0"/>
                <w:sz w:val="18"/>
                <w:szCs w:val="18"/>
                <w:highlight w:val="none"/>
              </w:rPr>
              <w:t>、债务还本支出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cs="Arial"/>
                <w:b/>
                <w:bCs/>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宋体" w:hAnsi="宋体" w:cs="Arial"/>
                <w:b/>
                <w:bCs/>
                <w:color w:val="000000"/>
                <w:kern w:val="0"/>
                <w:sz w:val="18"/>
                <w:szCs w:val="18"/>
                <w:highlight w:val="none"/>
              </w:rPr>
            </w:pPr>
            <w:r>
              <w:rPr>
                <w:rFonts w:hint="eastAsia" w:ascii="宋体" w:hAnsi="宋体" w:cs="Arial"/>
                <w:color w:val="000000"/>
                <w:kern w:val="0"/>
                <w:sz w:val="18"/>
                <w:szCs w:val="18"/>
                <w:highlight w:val="none"/>
              </w:rPr>
              <w:t>二十</w:t>
            </w:r>
            <w:r>
              <w:rPr>
                <w:rFonts w:hint="eastAsia" w:ascii="宋体" w:hAnsi="宋体" w:cs="Arial"/>
                <w:color w:val="000000"/>
                <w:kern w:val="0"/>
                <w:sz w:val="18"/>
                <w:szCs w:val="18"/>
                <w:highlight w:val="none"/>
                <w:lang w:eastAsia="zh-CN"/>
              </w:rPr>
              <w:t>五</w:t>
            </w:r>
            <w:r>
              <w:rPr>
                <w:rFonts w:hint="eastAsia" w:ascii="宋体" w:hAnsi="宋体" w:cs="Arial"/>
                <w:color w:val="000000"/>
                <w:kern w:val="0"/>
                <w:sz w:val="18"/>
                <w:szCs w:val="18"/>
                <w:highlight w:val="none"/>
              </w:rPr>
              <w:t>、债务付息支出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cs="Arial"/>
                <w:b/>
                <w:bCs/>
                <w:color w:val="000000"/>
                <w:kern w:val="0"/>
                <w:sz w:val="18"/>
                <w:szCs w:val="18"/>
                <w:highlight w:val="none"/>
              </w:rPr>
            </w:pP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Arial"/>
                <w:b/>
                <w:bCs/>
                <w:color w:val="000000"/>
                <w:kern w:val="0"/>
                <w:sz w:val="18"/>
                <w:szCs w:val="18"/>
                <w:highlight w:val="none"/>
                <w:lang w:eastAsia="zh-CN"/>
              </w:rPr>
            </w:pPr>
            <w:r>
              <w:rPr>
                <w:rFonts w:hint="eastAsia" w:ascii="宋体" w:hAnsi="宋体" w:cs="Arial"/>
                <w:color w:val="000000"/>
                <w:kern w:val="0"/>
                <w:sz w:val="18"/>
                <w:szCs w:val="18"/>
                <w:highlight w:val="none"/>
                <w:lang w:eastAsia="zh-CN"/>
              </w:rPr>
              <w:t>二十六、抗疫特别国债安排的支出</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本年收入合计</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116.47</w:t>
            </w: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本年支出合计</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208.20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 xml:space="preserve">    </w:t>
            </w:r>
            <w:r>
              <w:rPr>
                <w:rFonts w:hint="eastAsia" w:ascii="宋体" w:hAnsi="宋体" w:cs="Arial"/>
                <w:color w:val="000000"/>
                <w:kern w:val="0"/>
                <w:sz w:val="18"/>
                <w:szCs w:val="18"/>
                <w:highlight w:val="none"/>
                <w:lang w:eastAsia="zh-CN"/>
              </w:rPr>
              <w:t>使用非财政拨款结余</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0.54</w:t>
            </w: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 xml:space="preserve">    结余分配</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 xml:space="preserve">    年初结转和结余</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99.43</w:t>
            </w: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ascii="宋体" w:hAnsi="宋体" w:cs="Arial"/>
                <w:color w:val="000000"/>
                <w:kern w:val="0"/>
                <w:sz w:val="18"/>
                <w:szCs w:val="18"/>
                <w:highlight w:val="none"/>
              </w:rPr>
            </w:pPr>
            <w:r>
              <w:rPr>
                <w:rFonts w:hint="eastAsia" w:ascii="宋体" w:hAnsi="宋体" w:cs="Arial"/>
                <w:color w:val="000000"/>
                <w:kern w:val="0"/>
                <w:sz w:val="18"/>
                <w:szCs w:val="18"/>
                <w:highlight w:val="none"/>
              </w:rPr>
              <w:t xml:space="preserve">    年末结转和结余</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02"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合计</w:t>
            </w:r>
          </w:p>
        </w:tc>
        <w:tc>
          <w:tcPr>
            <w:tcW w:w="125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216.45</w:t>
            </w:r>
          </w:p>
        </w:tc>
        <w:tc>
          <w:tcPr>
            <w:tcW w:w="3506"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合计</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宋体" w:hAnsi="宋体" w:cs="Arial" w:eastAsiaTheme="minorEastAsia"/>
                <w:color w:val="000000"/>
                <w:kern w:val="0"/>
                <w:sz w:val="18"/>
                <w:szCs w:val="18"/>
                <w:highlight w:val="none"/>
                <w:lang w:val="en-US" w:eastAsia="zh-CN"/>
              </w:rPr>
            </w:pPr>
            <w:r>
              <w:rPr>
                <w:rFonts w:hint="eastAsia" w:ascii="宋体" w:hAnsi="宋体" w:cs="Arial"/>
                <w:color w:val="000000"/>
                <w:kern w:val="0"/>
                <w:sz w:val="18"/>
                <w:szCs w:val="18"/>
                <w:highlight w:val="none"/>
                <w:lang w:val="en-US" w:eastAsia="zh-CN"/>
              </w:rPr>
              <w:t>216.45</w:t>
            </w:r>
          </w:p>
        </w:tc>
      </w:tr>
    </w:tbl>
    <w:p>
      <w:pPr>
        <w:pStyle w:val="7"/>
        <w:rPr>
          <w:rFonts w:hint="eastAsia" w:ascii="Times New Roman" w:hAnsi="Times New Roman" w:eastAsia="宋体" w:cs="Times New Roman"/>
          <w:highlight w:val="none"/>
        </w:rPr>
      </w:pPr>
      <w:r>
        <w:rPr>
          <w:rFonts w:hint="eastAsia" w:ascii="Times New Roman" w:hAnsi="Times New Roman" w:eastAsia="宋体" w:cs="Times New Roman"/>
          <w:highlight w:val="none"/>
        </w:rPr>
        <w:t>注：1. 本表反映部门本年度的总收支和年末结转结余情况。</w:t>
      </w:r>
    </w:p>
    <w:p>
      <w:pPr>
        <w:pStyle w:val="7"/>
        <w:ind w:firstLine="480" w:firstLineChars="200"/>
        <w:outlineLvl w:val="2"/>
        <w:rPr>
          <w:rFonts w:ascii="仿宋" w:hAnsi="仿宋" w:eastAsia="仿宋"/>
          <w:sz w:val="32"/>
          <w:szCs w:val="32"/>
          <w:highlight w:val="none"/>
        </w:rPr>
      </w:pPr>
      <w:r>
        <w:rPr>
          <w:rFonts w:hint="eastAsia" w:ascii="Times New Roman" w:hAnsi="Times New Roman" w:eastAsia="宋体" w:cs="Times New Roman"/>
          <w:highlight w:val="none"/>
        </w:rPr>
        <w:t>2.</w:t>
      </w:r>
      <w:r>
        <w:rPr>
          <w:rFonts w:hint="eastAsia"/>
          <w:highlight w:val="none"/>
        </w:rPr>
        <w:t xml:space="preserve"> </w:t>
      </w:r>
      <w:r>
        <w:rPr>
          <w:rFonts w:hint="eastAsia" w:ascii="Times New Roman" w:hAnsi="Times New Roman" w:eastAsia="宋体" w:cs="Times New Roman"/>
          <w:highlight w:val="none"/>
        </w:rPr>
        <w:t>本套报表金额单位转换时可能存在尾数误差。</w:t>
      </w:r>
    </w:p>
    <w:p>
      <w:pPr>
        <w:pStyle w:val="6"/>
        <w:spacing w:line="240" w:lineRule="auto"/>
        <w:ind w:firstLine="640"/>
        <w:rPr>
          <w:rFonts w:ascii="仿宋" w:hAnsi="仿宋" w:eastAsia="仿宋"/>
          <w:sz w:val="32"/>
          <w:szCs w:val="32"/>
          <w:highlight w:val="none"/>
        </w:rPr>
        <w:sectPr>
          <w:footerReference r:id="rId5" w:type="default"/>
          <w:pgSz w:w="11906" w:h="16838"/>
          <w:pgMar w:top="1188" w:right="1474" w:bottom="1588" w:left="1588" w:header="851" w:footer="992" w:gutter="0"/>
          <w:cols w:space="720" w:num="1"/>
          <w:docGrid w:type="lines" w:linePitch="312" w:charSpace="0"/>
        </w:sectPr>
      </w:pPr>
    </w:p>
    <w:p>
      <w:pPr>
        <w:pStyle w:val="6"/>
        <w:spacing w:line="240" w:lineRule="auto"/>
        <w:ind w:firstLine="0" w:firstLineChars="0"/>
        <w:outlineLvl w:val="1"/>
        <w:rPr>
          <w:rFonts w:hint="eastAsia" w:ascii="仿宋" w:hAnsi="仿宋" w:eastAsia="仿宋"/>
          <w:sz w:val="32"/>
          <w:szCs w:val="32"/>
          <w:highlight w:val="none"/>
        </w:rPr>
      </w:pPr>
      <w:bookmarkStart w:id="7" w:name="_Toc32406"/>
      <w:r>
        <w:rPr>
          <w:rFonts w:hint="eastAsia" w:ascii="仿宋" w:hAnsi="仿宋" w:eastAsia="仿宋"/>
          <w:sz w:val="32"/>
          <w:szCs w:val="32"/>
          <w:highlight w:val="none"/>
        </w:rPr>
        <w:t>二、收入决算表</w:t>
      </w:r>
      <w:bookmarkEnd w:id="7"/>
    </w:p>
    <w:p>
      <w:pPr>
        <w:spacing w:line="240" w:lineRule="auto"/>
        <w:jc w:val="center"/>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收入决算表</w:t>
      </w:r>
    </w:p>
    <w:p>
      <w:pPr>
        <w:spacing w:line="240" w:lineRule="auto"/>
        <w:jc w:val="both"/>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val="en-US" w:eastAsia="zh-CN"/>
        </w:rPr>
        <w:t xml:space="preserve">公开02表 </w:t>
      </w:r>
      <w:r>
        <w:rPr>
          <w:rFonts w:hint="eastAsia" w:ascii="宋体" w:hAnsi="宋体" w:eastAsia="宋体" w:cs="Arial"/>
          <w:color w:val="000000"/>
          <w:kern w:val="0"/>
          <w:sz w:val="22"/>
          <w:highlight w:val="none"/>
        </w:rPr>
        <w:t>单位：万元</w:t>
      </w:r>
    </w:p>
    <w:tbl>
      <w:tblPr>
        <w:tblStyle w:val="4"/>
        <w:tblW w:w="13869" w:type="dxa"/>
        <w:jc w:val="center"/>
        <w:tblLayout w:type="fixed"/>
        <w:tblCellMar>
          <w:top w:w="0" w:type="dxa"/>
          <w:left w:w="108" w:type="dxa"/>
          <w:bottom w:w="0" w:type="dxa"/>
          <w:right w:w="108" w:type="dxa"/>
        </w:tblCellMar>
      </w:tblPr>
      <w:tblGrid>
        <w:gridCol w:w="614"/>
        <w:gridCol w:w="613"/>
        <w:gridCol w:w="613"/>
        <w:gridCol w:w="3439"/>
        <w:gridCol w:w="1284"/>
        <w:gridCol w:w="1092"/>
        <w:gridCol w:w="1116"/>
        <w:gridCol w:w="1128"/>
        <w:gridCol w:w="660"/>
        <w:gridCol w:w="1344"/>
        <w:gridCol w:w="1966"/>
      </w:tblGrid>
      <w:tr>
        <w:tblPrEx>
          <w:tblCellMar>
            <w:top w:w="0" w:type="dxa"/>
            <w:left w:w="108" w:type="dxa"/>
            <w:bottom w:w="0" w:type="dxa"/>
            <w:right w:w="108" w:type="dxa"/>
          </w:tblCellMar>
        </w:tblPrEx>
        <w:trPr>
          <w:trHeight w:val="476" w:hRule="atLeast"/>
          <w:jc w:val="center"/>
        </w:trPr>
        <w:tc>
          <w:tcPr>
            <w:tcW w:w="527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项   目</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Arial"/>
                <w:b/>
                <w:bCs/>
                <w:color w:val="000000"/>
                <w:kern w:val="0"/>
                <w:szCs w:val="21"/>
                <w:highlight w:val="none"/>
              </w:rPr>
            </w:pPr>
            <w:r>
              <w:rPr>
                <w:rFonts w:hint="eastAsia" w:ascii="宋体" w:hAnsi="宋体" w:cs="Arial"/>
                <w:b/>
                <w:bCs/>
                <w:color w:val="000000"/>
                <w:kern w:val="0"/>
                <w:szCs w:val="21"/>
                <w:highlight w:val="none"/>
              </w:rPr>
              <w:t>本年收入</w:t>
            </w:r>
          </w:p>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合计</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财政拨款收入</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上级补助收入</w:t>
            </w:r>
          </w:p>
        </w:tc>
        <w:tc>
          <w:tcPr>
            <w:tcW w:w="11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事业收入</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经营收入</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附属单位上缴收入</w:t>
            </w:r>
          </w:p>
        </w:tc>
        <w:tc>
          <w:tcPr>
            <w:tcW w:w="19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其他收入</w:t>
            </w:r>
          </w:p>
        </w:tc>
      </w:tr>
      <w:tr>
        <w:tblPrEx>
          <w:tblCellMar>
            <w:top w:w="0" w:type="dxa"/>
            <w:left w:w="108" w:type="dxa"/>
            <w:bottom w:w="0" w:type="dxa"/>
            <w:right w:w="108" w:type="dxa"/>
          </w:tblCellMar>
        </w:tblPrEx>
        <w:trPr>
          <w:trHeight w:val="312" w:hRule="atLeast"/>
          <w:jc w:val="center"/>
        </w:trPr>
        <w:tc>
          <w:tcPr>
            <w:tcW w:w="184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支出功能分类科目编码</w:t>
            </w:r>
          </w:p>
        </w:tc>
        <w:tc>
          <w:tcPr>
            <w:tcW w:w="3439"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科目名称</w:t>
            </w: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12" w:hRule="atLeast"/>
          <w:jc w:val="center"/>
        </w:trPr>
        <w:tc>
          <w:tcPr>
            <w:tcW w:w="18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343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12" w:hRule="atLeast"/>
          <w:jc w:val="center"/>
        </w:trPr>
        <w:tc>
          <w:tcPr>
            <w:tcW w:w="18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3439"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9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类</w:t>
            </w: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款</w:t>
            </w: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项</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合计</w:t>
            </w: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116.47</w:t>
            </w: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116.46</w:t>
            </w: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0.01</w:t>
            </w:r>
          </w:p>
        </w:tc>
      </w:tr>
      <w:tr>
        <w:tblPrEx>
          <w:tblCellMar>
            <w:top w:w="0" w:type="dxa"/>
            <w:left w:w="108" w:type="dxa"/>
            <w:bottom w:w="0" w:type="dxa"/>
            <w:right w:w="108" w:type="dxa"/>
          </w:tblCellMar>
        </w:tblPrEx>
        <w:trPr>
          <w:trHeight w:val="9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205</w:t>
            </w: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教育支出</w:t>
            </w: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116.47</w:t>
            </w: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116.46</w:t>
            </w: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0.01</w:t>
            </w: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205</w:t>
            </w: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03</w:t>
            </w: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职业教育</w:t>
            </w: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116.47</w:t>
            </w: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116.46</w:t>
            </w: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0.01</w:t>
            </w: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205</w:t>
            </w: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03</w:t>
            </w: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02</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中等职业教育</w:t>
            </w: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116.47</w:t>
            </w: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116.46</w:t>
            </w: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0.01</w:t>
            </w: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170" w:hRule="atLeast"/>
          <w:jc w:val="center"/>
        </w:trPr>
        <w:tc>
          <w:tcPr>
            <w:tcW w:w="61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43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12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0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1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6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9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注：本表反映部门本年度取得的各项收入情况。</w:t>
      </w:r>
    </w:p>
    <w:p>
      <w:pPr>
        <w:pStyle w:val="6"/>
        <w:spacing w:line="500" w:lineRule="exact"/>
        <w:ind w:firstLine="0" w:firstLineChars="0"/>
        <w:outlineLvl w:val="1"/>
        <w:rPr>
          <w:rFonts w:hint="eastAsia" w:ascii="仿宋" w:hAnsi="仿宋" w:eastAsia="仿宋"/>
          <w:sz w:val="32"/>
          <w:szCs w:val="32"/>
          <w:highlight w:val="none"/>
        </w:rPr>
      </w:pPr>
      <w:r>
        <w:rPr>
          <w:rFonts w:ascii="仿宋" w:hAnsi="仿宋" w:eastAsia="仿宋"/>
          <w:sz w:val="32"/>
          <w:szCs w:val="32"/>
          <w:highlight w:val="none"/>
        </w:rPr>
        <w:br w:type="page"/>
      </w:r>
      <w:bookmarkStart w:id="8" w:name="_Toc15804"/>
      <w:r>
        <w:rPr>
          <w:rFonts w:hint="eastAsia" w:ascii="仿宋" w:hAnsi="仿宋" w:eastAsia="仿宋"/>
          <w:sz w:val="32"/>
          <w:szCs w:val="32"/>
          <w:highlight w:val="none"/>
        </w:rPr>
        <w:t>三、支出决算表</w:t>
      </w:r>
      <w:bookmarkEnd w:id="8"/>
    </w:p>
    <w:p>
      <w:pPr>
        <w:spacing w:line="500" w:lineRule="exact"/>
        <w:jc w:val="center"/>
        <w:outlineLvl w:val="2"/>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支出决算表</w:t>
      </w:r>
    </w:p>
    <w:p>
      <w:pPr>
        <w:spacing w:line="240" w:lineRule="auto"/>
        <w:jc w:val="both"/>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val="en-US" w:eastAsia="zh-CN"/>
        </w:rPr>
        <w:t xml:space="preserve">公开03表 </w:t>
      </w:r>
      <w:r>
        <w:rPr>
          <w:rFonts w:hint="eastAsia" w:ascii="宋体" w:hAnsi="宋体" w:eastAsia="宋体" w:cs="Arial"/>
          <w:color w:val="000000"/>
          <w:kern w:val="0"/>
          <w:sz w:val="22"/>
          <w:highlight w:val="none"/>
        </w:rPr>
        <w:t>单位：万元</w:t>
      </w:r>
    </w:p>
    <w:tbl>
      <w:tblPr>
        <w:tblStyle w:val="4"/>
        <w:tblW w:w="14440" w:type="dxa"/>
        <w:jc w:val="center"/>
        <w:tblLayout w:type="fixed"/>
        <w:tblCellMar>
          <w:top w:w="0" w:type="dxa"/>
          <w:left w:w="108" w:type="dxa"/>
          <w:bottom w:w="0" w:type="dxa"/>
          <w:right w:w="108" w:type="dxa"/>
        </w:tblCellMar>
      </w:tblPr>
      <w:tblGrid>
        <w:gridCol w:w="659"/>
        <w:gridCol w:w="659"/>
        <w:gridCol w:w="659"/>
        <w:gridCol w:w="3671"/>
        <w:gridCol w:w="1356"/>
        <w:gridCol w:w="1272"/>
        <w:gridCol w:w="1320"/>
        <w:gridCol w:w="1564"/>
        <w:gridCol w:w="1800"/>
        <w:gridCol w:w="1480"/>
      </w:tblGrid>
      <w:tr>
        <w:tblPrEx>
          <w:tblCellMar>
            <w:top w:w="0" w:type="dxa"/>
            <w:left w:w="108" w:type="dxa"/>
            <w:bottom w:w="0" w:type="dxa"/>
            <w:right w:w="108" w:type="dxa"/>
          </w:tblCellMar>
        </w:tblPrEx>
        <w:trPr>
          <w:trHeight w:val="356" w:hRule="atLeast"/>
          <w:jc w:val="center"/>
        </w:trPr>
        <w:tc>
          <w:tcPr>
            <w:tcW w:w="5648"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项   目</w:t>
            </w:r>
          </w:p>
        </w:tc>
        <w:tc>
          <w:tcPr>
            <w:tcW w:w="13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Arial"/>
                <w:b/>
                <w:bCs/>
                <w:color w:val="000000"/>
                <w:kern w:val="0"/>
                <w:szCs w:val="21"/>
                <w:highlight w:val="none"/>
              </w:rPr>
            </w:pPr>
            <w:r>
              <w:rPr>
                <w:rFonts w:hint="eastAsia" w:ascii="宋体" w:hAnsi="宋体" w:cs="Arial"/>
                <w:b/>
                <w:bCs/>
                <w:color w:val="000000"/>
                <w:kern w:val="0"/>
                <w:szCs w:val="21"/>
                <w:highlight w:val="none"/>
              </w:rPr>
              <w:t>本年支出</w:t>
            </w:r>
          </w:p>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合计</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基本支出</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项目支出</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上缴上级支出</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经营支出</w:t>
            </w:r>
          </w:p>
        </w:tc>
        <w:tc>
          <w:tcPr>
            <w:tcW w:w="14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对附属单位补助支出</w:t>
            </w:r>
          </w:p>
        </w:tc>
      </w:tr>
      <w:tr>
        <w:tblPrEx>
          <w:tblCellMar>
            <w:top w:w="0" w:type="dxa"/>
            <w:left w:w="108" w:type="dxa"/>
            <w:bottom w:w="0" w:type="dxa"/>
            <w:right w:w="108" w:type="dxa"/>
          </w:tblCellMar>
        </w:tblPrEx>
        <w:trPr>
          <w:trHeight w:val="312" w:hRule="atLeast"/>
          <w:jc w:val="center"/>
        </w:trPr>
        <w:tc>
          <w:tcPr>
            <w:tcW w:w="197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支出功能分类科目编码</w:t>
            </w:r>
          </w:p>
        </w:tc>
        <w:tc>
          <w:tcPr>
            <w:tcW w:w="3671"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科目名称</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12" w:hRule="atLeast"/>
          <w:jc w:val="center"/>
        </w:trPr>
        <w:tc>
          <w:tcPr>
            <w:tcW w:w="197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3671"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12" w:hRule="atLeast"/>
          <w:jc w:val="center"/>
        </w:trPr>
        <w:tc>
          <w:tcPr>
            <w:tcW w:w="197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3671"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类</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款</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项</w:t>
            </w: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r>
              <w:rPr>
                <w:rFonts w:hint="eastAsia" w:ascii="宋体" w:hAnsi="宋体" w:cs="Arial"/>
                <w:color w:val="000000"/>
                <w:kern w:val="0"/>
                <w:szCs w:val="21"/>
                <w:highlight w:val="none"/>
              </w:rPr>
              <w:t>合计</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208.20</w:t>
            </w: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118.94</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89.25</w:t>
            </w: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205</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r>
              <w:rPr>
                <w:rFonts w:hint="eastAsia" w:ascii="宋体" w:hAnsi="宋体" w:cs="Arial"/>
                <w:color w:val="000000"/>
                <w:kern w:val="0"/>
                <w:szCs w:val="21"/>
                <w:highlight w:val="none"/>
                <w:lang w:val="en-US" w:eastAsia="zh-CN"/>
              </w:rPr>
              <w:t>教育支出</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208.20</w:t>
            </w: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118.94</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89.25</w:t>
            </w: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205</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color w:val="000000"/>
                <w:kern w:val="0"/>
                <w:szCs w:val="21"/>
                <w:highlight w:val="none"/>
                <w:lang w:val="en-US"/>
              </w:rPr>
            </w:pPr>
            <w:r>
              <w:rPr>
                <w:rFonts w:hint="eastAsia" w:ascii="宋体" w:hAnsi="宋体" w:cs="Arial"/>
                <w:color w:val="000000"/>
                <w:kern w:val="0"/>
                <w:szCs w:val="21"/>
                <w:highlight w:val="none"/>
                <w:lang w:val="en-US" w:eastAsia="zh-CN"/>
              </w:rPr>
              <w:t>02</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r>
              <w:rPr>
                <w:rFonts w:hint="eastAsia" w:ascii="宋体" w:hAnsi="宋体" w:cs="Arial"/>
                <w:color w:val="000000"/>
                <w:kern w:val="0"/>
                <w:szCs w:val="21"/>
                <w:highlight w:val="none"/>
                <w:lang w:val="en-US" w:eastAsia="zh-CN"/>
              </w:rPr>
              <w:t>普通教育</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89.25</w:t>
            </w: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89.25</w:t>
            </w: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205</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color w:val="000000"/>
                <w:kern w:val="0"/>
                <w:szCs w:val="21"/>
                <w:highlight w:val="none"/>
                <w:lang w:val="en-US"/>
              </w:rPr>
            </w:pPr>
            <w:r>
              <w:rPr>
                <w:rFonts w:hint="eastAsia" w:ascii="宋体" w:hAnsi="宋体" w:cs="Arial"/>
                <w:color w:val="000000"/>
                <w:kern w:val="0"/>
                <w:szCs w:val="21"/>
                <w:highlight w:val="none"/>
                <w:lang w:val="en-US" w:eastAsia="zh-CN"/>
              </w:rPr>
              <w:t>02</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99</w:t>
            </w: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21"/>
                <w:szCs w:val="21"/>
                <w:highlight w:val="none"/>
                <w:lang w:val="en-US" w:eastAsia="zh-CN"/>
              </w:rPr>
              <w:t>其他普通教育支出</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89.25</w:t>
            </w: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89.25</w:t>
            </w: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205</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03</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r>
              <w:rPr>
                <w:rFonts w:hint="eastAsia" w:ascii="宋体" w:hAnsi="宋体" w:cs="Arial"/>
                <w:color w:val="000000"/>
                <w:kern w:val="0"/>
                <w:szCs w:val="21"/>
                <w:highlight w:val="none"/>
                <w:lang w:val="en-US" w:eastAsia="zh-CN"/>
              </w:rPr>
              <w:t>职业教育</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118.94</w:t>
            </w: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118.94</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205</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03</w:t>
            </w: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02</w:t>
            </w: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r>
              <w:rPr>
                <w:rFonts w:hint="eastAsia" w:ascii="宋体" w:hAnsi="宋体" w:cs="Arial"/>
                <w:color w:val="000000"/>
                <w:kern w:val="0"/>
                <w:szCs w:val="21"/>
                <w:highlight w:val="none"/>
                <w:lang w:val="en-US" w:eastAsia="zh-CN"/>
              </w:rPr>
              <w:t>中等职业教育</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118.94</w:t>
            </w: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118.94</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227" w:hRule="atLeast"/>
          <w:jc w:val="center"/>
        </w:trPr>
        <w:tc>
          <w:tcPr>
            <w:tcW w:w="6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6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Cs w:val="21"/>
                <w:highlight w:val="none"/>
              </w:rPr>
            </w:pPr>
          </w:p>
        </w:tc>
        <w:tc>
          <w:tcPr>
            <w:tcW w:w="367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宋体" w:hAnsi="宋体" w:cs="Arial"/>
                <w:color w:val="000000"/>
                <w:kern w:val="0"/>
                <w:sz w:val="15"/>
                <w:szCs w:val="15"/>
                <w:highlight w:val="none"/>
              </w:rPr>
            </w:pPr>
          </w:p>
        </w:tc>
        <w:tc>
          <w:tcPr>
            <w:tcW w:w="13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27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5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c>
          <w:tcPr>
            <w:tcW w:w="1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Arial"/>
                <w:color w:val="000000"/>
                <w:kern w:val="0"/>
                <w:szCs w:val="21"/>
                <w:highlight w:val="none"/>
              </w:rPr>
            </w:pPr>
          </w:p>
        </w:tc>
      </w:tr>
    </w:tbl>
    <w:p>
      <w:pPr>
        <w:pStyle w:val="7"/>
        <w:rPr>
          <w:rFonts w:ascii="仿宋" w:hAnsi="仿宋" w:eastAsia="仿宋"/>
          <w:sz w:val="32"/>
          <w:szCs w:val="32"/>
          <w:highlight w:val="none"/>
        </w:rPr>
      </w:pPr>
      <w:r>
        <w:rPr>
          <w:rFonts w:hint="eastAsia" w:ascii="Times New Roman" w:hAnsi="Times New Roman" w:eastAsia="宋体" w:cs="Times New Roman"/>
          <w:highlight w:val="none"/>
        </w:rPr>
        <w:t>注：本表反映部门本年度各项支出情况。</w:t>
      </w:r>
    </w:p>
    <w:p>
      <w:pPr>
        <w:pStyle w:val="6"/>
        <w:spacing w:line="240" w:lineRule="auto"/>
        <w:ind w:firstLine="640"/>
        <w:rPr>
          <w:rFonts w:ascii="仿宋" w:hAnsi="仿宋" w:eastAsia="仿宋"/>
          <w:sz w:val="32"/>
          <w:szCs w:val="32"/>
          <w:highlight w:val="none"/>
        </w:rPr>
        <w:sectPr>
          <w:pgSz w:w="16838" w:h="11906" w:orient="landscape"/>
          <w:pgMar w:top="1474" w:right="1588" w:bottom="1588" w:left="1588" w:header="851" w:footer="992" w:gutter="0"/>
          <w:cols w:space="720" w:num="1"/>
          <w:docGrid w:linePitch="312" w:charSpace="0"/>
        </w:sectPr>
      </w:pPr>
    </w:p>
    <w:p>
      <w:pPr>
        <w:pStyle w:val="6"/>
        <w:numPr>
          <w:ilvl w:val="0"/>
          <w:numId w:val="2"/>
        </w:numPr>
        <w:spacing w:line="240" w:lineRule="auto"/>
        <w:ind w:firstLine="0" w:firstLineChars="0"/>
        <w:outlineLvl w:val="1"/>
        <w:rPr>
          <w:rFonts w:hint="eastAsia" w:ascii="仿宋" w:hAnsi="仿宋" w:eastAsia="仿宋"/>
          <w:sz w:val="32"/>
          <w:szCs w:val="32"/>
          <w:highlight w:val="none"/>
        </w:rPr>
      </w:pPr>
      <w:bookmarkStart w:id="9" w:name="_Toc3150"/>
      <w:r>
        <w:rPr>
          <w:rFonts w:hint="eastAsia" w:ascii="仿宋" w:hAnsi="仿宋" w:eastAsia="仿宋"/>
          <w:sz w:val="32"/>
          <w:szCs w:val="32"/>
          <w:highlight w:val="none"/>
        </w:rPr>
        <w:t>财政拨款收入支出决算总表</w:t>
      </w:r>
      <w:bookmarkEnd w:id="9"/>
    </w:p>
    <w:p>
      <w:pPr>
        <w:spacing w:line="240" w:lineRule="auto"/>
        <w:jc w:val="center"/>
        <w:outlineLvl w:val="2"/>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财政拨款收入支出决算总表</w:t>
      </w:r>
    </w:p>
    <w:p>
      <w:pPr>
        <w:spacing w:line="240" w:lineRule="auto"/>
        <w:jc w:val="right"/>
        <w:rPr>
          <w:rFonts w:hint="eastAsia" w:ascii="宋体" w:hAnsi="宋体"/>
          <w:sz w:val="24"/>
          <w:szCs w:val="24"/>
          <w:highlight w:val="none"/>
        </w:rPr>
      </w:pPr>
    </w:p>
    <w:p>
      <w:pPr>
        <w:spacing w:line="240" w:lineRule="auto"/>
        <w:jc w:val="both"/>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0"/>
          <w:szCs w:val="20"/>
          <w:lang w:val="en-US" w:eastAsia="zh-CN"/>
        </w:rPr>
        <w:t xml:space="preserve"> </w:t>
      </w:r>
      <w:r>
        <w:rPr>
          <w:rFonts w:hint="eastAsia" w:ascii="宋体" w:hAnsi="宋体" w:eastAsia="宋体" w:cs="Arial"/>
          <w:color w:val="000000"/>
          <w:kern w:val="0"/>
          <w:sz w:val="22"/>
          <w:highlight w:val="none"/>
          <w:lang w:val="en-US" w:eastAsia="zh-CN"/>
        </w:rPr>
        <w:t xml:space="preserve">公开04表 </w:t>
      </w:r>
      <w:r>
        <w:rPr>
          <w:rFonts w:hint="eastAsia" w:ascii="宋体" w:hAnsi="宋体" w:eastAsia="宋体" w:cs="Arial"/>
          <w:color w:val="000000"/>
          <w:kern w:val="0"/>
          <w:sz w:val="22"/>
          <w:highlight w:val="none"/>
        </w:rPr>
        <w:t>单位：万元</w:t>
      </w:r>
    </w:p>
    <w:tbl>
      <w:tblPr>
        <w:tblStyle w:val="4"/>
        <w:tblW w:w="9250" w:type="dxa"/>
        <w:jc w:val="center"/>
        <w:tblLayout w:type="fixed"/>
        <w:tblCellMar>
          <w:top w:w="0" w:type="dxa"/>
          <w:left w:w="108" w:type="dxa"/>
          <w:bottom w:w="0" w:type="dxa"/>
          <w:right w:w="108" w:type="dxa"/>
        </w:tblCellMar>
      </w:tblPr>
      <w:tblGrid>
        <w:gridCol w:w="2733"/>
        <w:gridCol w:w="693"/>
        <w:gridCol w:w="2729"/>
        <w:gridCol w:w="759"/>
        <w:gridCol w:w="732"/>
        <w:gridCol w:w="792"/>
        <w:gridCol w:w="812"/>
      </w:tblGrid>
      <w:tr>
        <w:tblPrEx>
          <w:tblCellMar>
            <w:top w:w="0" w:type="dxa"/>
            <w:left w:w="108" w:type="dxa"/>
            <w:bottom w:w="0" w:type="dxa"/>
            <w:right w:w="108" w:type="dxa"/>
          </w:tblCellMar>
        </w:tblPrEx>
        <w:trPr>
          <w:trHeight w:val="249" w:hRule="atLeast"/>
          <w:jc w:val="center"/>
        </w:trPr>
        <w:tc>
          <w:tcPr>
            <w:tcW w:w="34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收     入</w:t>
            </w:r>
          </w:p>
        </w:tc>
        <w:tc>
          <w:tcPr>
            <w:tcW w:w="5824"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Arial"/>
                <w:b/>
                <w:bCs/>
                <w:color w:val="000000"/>
                <w:kern w:val="0"/>
                <w:szCs w:val="21"/>
                <w:highlight w:val="none"/>
              </w:rPr>
            </w:pPr>
            <w:r>
              <w:rPr>
                <w:rFonts w:hint="eastAsia" w:ascii="宋体" w:hAnsi="宋体" w:cs="Arial"/>
                <w:b/>
                <w:bCs/>
                <w:color w:val="000000"/>
                <w:kern w:val="0"/>
                <w:szCs w:val="21"/>
                <w:highlight w:val="none"/>
              </w:rPr>
              <w:t>支     出</w:t>
            </w:r>
          </w:p>
        </w:tc>
      </w:tr>
      <w:tr>
        <w:tblPrEx>
          <w:tblCellMar>
            <w:top w:w="0" w:type="dxa"/>
            <w:left w:w="108" w:type="dxa"/>
            <w:bottom w:w="0" w:type="dxa"/>
            <w:right w:w="108" w:type="dxa"/>
          </w:tblCellMar>
        </w:tblPrEx>
        <w:trPr>
          <w:trHeight w:val="1430" w:hRule="atLeast"/>
          <w:jc w:val="center"/>
        </w:trPr>
        <w:tc>
          <w:tcPr>
            <w:tcW w:w="273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项    目</w:t>
            </w:r>
          </w:p>
        </w:tc>
        <w:tc>
          <w:tcPr>
            <w:tcW w:w="69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金额</w:t>
            </w:r>
          </w:p>
        </w:tc>
        <w:tc>
          <w:tcPr>
            <w:tcW w:w="27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项目（按功能分类）</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合计</w:t>
            </w:r>
          </w:p>
        </w:tc>
        <w:tc>
          <w:tcPr>
            <w:tcW w:w="7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一般公共预算财政拨款</w:t>
            </w:r>
          </w:p>
        </w:tc>
        <w:tc>
          <w:tcPr>
            <w:tcW w:w="7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政府性基金预算财政拨款</w:t>
            </w:r>
          </w:p>
        </w:tc>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Arial"/>
                <w:b/>
                <w:bCs/>
                <w:color w:val="000000"/>
                <w:kern w:val="0"/>
                <w:sz w:val="18"/>
                <w:szCs w:val="18"/>
                <w:highlight w:val="none"/>
                <w:lang w:eastAsia="zh-CN"/>
              </w:rPr>
            </w:pPr>
            <w:r>
              <w:rPr>
                <w:rFonts w:hint="eastAsia" w:ascii="宋体" w:hAnsi="宋体" w:cs="Arial"/>
                <w:b/>
                <w:bCs/>
                <w:color w:val="000000"/>
                <w:kern w:val="0"/>
                <w:sz w:val="18"/>
                <w:szCs w:val="18"/>
                <w:highlight w:val="none"/>
                <w:lang w:eastAsia="zh-CN"/>
              </w:rPr>
              <w:t>国有资本经营财政拨款</w:t>
            </w: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一、一般公共预算财政拨款</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116.47</w:t>
            </w: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一、一般公共服务支出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二、政府性基金预算财政拨款</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二、外交支出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三、国有资本经营预算财政拨款</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三、国防支出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四、公共安全支出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五、教育支出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118.39</w:t>
            </w: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118.39</w:t>
            </w: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六、科学技术支出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七、文化</w:t>
            </w:r>
            <w:r>
              <w:rPr>
                <w:rFonts w:hint="eastAsia" w:ascii="仿宋_GB2312" w:hAnsi="仿宋_GB2312" w:eastAsia="仿宋_GB2312" w:cs="仿宋_GB2312"/>
                <w:color w:val="000000"/>
                <w:kern w:val="0"/>
                <w:sz w:val="15"/>
                <w:szCs w:val="15"/>
                <w:highlight w:val="none"/>
                <w:lang w:eastAsia="zh-CN"/>
              </w:rPr>
              <w:t>旅游体育</w:t>
            </w:r>
            <w:r>
              <w:rPr>
                <w:rFonts w:hint="eastAsia" w:ascii="仿宋_GB2312" w:hAnsi="仿宋_GB2312" w:eastAsia="仿宋_GB2312" w:cs="仿宋_GB2312"/>
                <w:color w:val="000000"/>
                <w:kern w:val="0"/>
                <w:sz w:val="15"/>
                <w:szCs w:val="15"/>
                <w:highlight w:val="none"/>
              </w:rPr>
              <w:t>与传媒支出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八、社会保障和就业支出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九、</w:t>
            </w:r>
            <w:r>
              <w:rPr>
                <w:rFonts w:hint="eastAsia" w:ascii="仿宋_GB2312" w:hAnsi="仿宋_GB2312" w:eastAsia="仿宋_GB2312" w:cs="仿宋_GB2312"/>
                <w:color w:val="000000"/>
                <w:kern w:val="0"/>
                <w:sz w:val="15"/>
                <w:szCs w:val="15"/>
                <w:highlight w:val="none"/>
                <w:lang w:eastAsia="zh-CN"/>
              </w:rPr>
              <w:t>卫生健康支出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十、节能环保支出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十一、城乡社区支出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十二、农林水支出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十三、交通运输支出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十四、</w:t>
            </w:r>
            <w:r>
              <w:rPr>
                <w:rFonts w:hint="eastAsia" w:ascii="宋体" w:hAnsi="宋体" w:cs="Arial"/>
                <w:color w:val="000000"/>
                <w:kern w:val="0"/>
                <w:sz w:val="15"/>
                <w:szCs w:val="15"/>
                <w:highlight w:val="none"/>
              </w:rPr>
              <w:t>资源勘探信息等支出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十五、商业服务业等支出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十六、金融支出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十七、援助其他地区支出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十八、</w:t>
            </w:r>
            <w:r>
              <w:rPr>
                <w:rFonts w:hint="eastAsia" w:ascii="仿宋_GB2312" w:hAnsi="仿宋_GB2312" w:eastAsia="仿宋_GB2312" w:cs="仿宋_GB2312"/>
                <w:color w:val="000000"/>
                <w:kern w:val="0"/>
                <w:sz w:val="15"/>
                <w:szCs w:val="15"/>
                <w:highlight w:val="none"/>
                <w:lang w:eastAsia="zh-CN"/>
              </w:rPr>
              <w:t>自然资源海洋</w:t>
            </w:r>
            <w:r>
              <w:rPr>
                <w:rFonts w:hint="eastAsia" w:ascii="仿宋_GB2312" w:hAnsi="仿宋_GB2312" w:eastAsia="仿宋_GB2312" w:cs="仿宋_GB2312"/>
                <w:color w:val="000000"/>
                <w:kern w:val="0"/>
                <w:sz w:val="15"/>
                <w:szCs w:val="15"/>
                <w:highlight w:val="none"/>
              </w:rPr>
              <w:t>气象等支出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十九、住房保障支出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二十、粮油物资储备支出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lang w:eastAsia="zh-CN"/>
              </w:rPr>
            </w:pPr>
            <w:r>
              <w:rPr>
                <w:rFonts w:hint="eastAsia" w:ascii="仿宋_GB2312" w:hAnsi="仿宋_GB2312" w:eastAsia="仿宋_GB2312" w:cs="仿宋_GB2312"/>
                <w:color w:val="000000"/>
                <w:kern w:val="0"/>
                <w:sz w:val="15"/>
                <w:szCs w:val="15"/>
                <w:highlight w:val="none"/>
                <w:lang w:eastAsia="zh-CN"/>
              </w:rPr>
              <w:t>二十一、国有资本经营预算支出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lang w:eastAsia="zh-CN"/>
              </w:rPr>
              <w:t>二十二、灾害防治及应急管理支出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二十</w:t>
            </w:r>
            <w:r>
              <w:rPr>
                <w:rFonts w:hint="eastAsia" w:ascii="仿宋_GB2312" w:hAnsi="仿宋_GB2312" w:eastAsia="仿宋_GB2312" w:cs="仿宋_GB2312"/>
                <w:color w:val="000000"/>
                <w:kern w:val="0"/>
                <w:sz w:val="15"/>
                <w:szCs w:val="15"/>
                <w:highlight w:val="none"/>
                <w:lang w:eastAsia="zh-CN"/>
              </w:rPr>
              <w:t>三</w:t>
            </w:r>
            <w:r>
              <w:rPr>
                <w:rFonts w:hint="eastAsia" w:ascii="仿宋_GB2312" w:hAnsi="仿宋_GB2312" w:eastAsia="仿宋_GB2312" w:cs="仿宋_GB2312"/>
                <w:color w:val="000000"/>
                <w:kern w:val="0"/>
                <w:sz w:val="15"/>
                <w:szCs w:val="15"/>
                <w:highlight w:val="none"/>
              </w:rPr>
              <w:t>、其他支出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二十</w:t>
            </w:r>
            <w:r>
              <w:rPr>
                <w:rFonts w:hint="eastAsia" w:ascii="仿宋_GB2312" w:hAnsi="仿宋_GB2312" w:eastAsia="仿宋_GB2312" w:cs="仿宋_GB2312"/>
                <w:color w:val="000000"/>
                <w:kern w:val="0"/>
                <w:sz w:val="15"/>
                <w:szCs w:val="15"/>
                <w:highlight w:val="none"/>
                <w:lang w:eastAsia="zh-CN"/>
              </w:rPr>
              <w:t>四</w:t>
            </w:r>
            <w:r>
              <w:rPr>
                <w:rFonts w:hint="eastAsia" w:ascii="仿宋_GB2312" w:hAnsi="仿宋_GB2312" w:eastAsia="仿宋_GB2312" w:cs="仿宋_GB2312"/>
                <w:color w:val="000000"/>
                <w:kern w:val="0"/>
                <w:sz w:val="15"/>
                <w:szCs w:val="15"/>
                <w:highlight w:val="none"/>
              </w:rPr>
              <w:t>、债务还本支出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二十</w:t>
            </w:r>
            <w:r>
              <w:rPr>
                <w:rFonts w:hint="eastAsia" w:ascii="仿宋_GB2312" w:hAnsi="仿宋_GB2312" w:eastAsia="仿宋_GB2312" w:cs="仿宋_GB2312"/>
                <w:color w:val="000000"/>
                <w:kern w:val="0"/>
                <w:sz w:val="15"/>
                <w:szCs w:val="15"/>
                <w:highlight w:val="none"/>
                <w:lang w:eastAsia="zh-CN"/>
              </w:rPr>
              <w:t>五</w:t>
            </w:r>
            <w:r>
              <w:rPr>
                <w:rFonts w:hint="eastAsia" w:ascii="仿宋_GB2312" w:hAnsi="仿宋_GB2312" w:eastAsia="仿宋_GB2312" w:cs="仿宋_GB2312"/>
                <w:color w:val="000000"/>
                <w:kern w:val="0"/>
                <w:sz w:val="15"/>
                <w:szCs w:val="15"/>
                <w:highlight w:val="none"/>
              </w:rPr>
              <w:t>、债务付息支出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18"/>
                <w:szCs w:val="18"/>
                <w:highlight w:val="none"/>
              </w:rPr>
            </w:pP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lang w:eastAsia="zh-CN"/>
              </w:rPr>
              <w:t>二十六、抗疫特别国债安排的支出</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18"/>
                <w:szCs w:val="18"/>
                <w:highlight w:val="none"/>
              </w:rPr>
            </w:pPr>
            <w:r>
              <w:rPr>
                <w:rFonts w:hint="eastAsia" w:ascii="仿宋_GB2312" w:hAnsi="仿宋_GB2312" w:eastAsia="仿宋_GB2312" w:cs="仿宋_GB2312"/>
                <w:b/>
                <w:bCs/>
                <w:color w:val="000000"/>
                <w:kern w:val="0"/>
                <w:sz w:val="18"/>
                <w:szCs w:val="18"/>
                <w:highlight w:val="none"/>
              </w:rPr>
              <w:t>本年收入合计</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116.46</w:t>
            </w: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18"/>
                <w:szCs w:val="18"/>
                <w:highlight w:val="none"/>
              </w:rPr>
            </w:pPr>
            <w:r>
              <w:rPr>
                <w:rFonts w:hint="eastAsia" w:ascii="仿宋_GB2312" w:hAnsi="仿宋_GB2312" w:eastAsia="仿宋_GB2312" w:cs="仿宋_GB2312"/>
                <w:b/>
                <w:bCs/>
                <w:color w:val="000000"/>
                <w:kern w:val="0"/>
                <w:sz w:val="18"/>
                <w:szCs w:val="18"/>
                <w:highlight w:val="none"/>
              </w:rPr>
              <w:t>本年支出合计</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118.39</w:t>
            </w: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118.39</w:t>
            </w:r>
          </w:p>
        </w:tc>
        <w:tc>
          <w:tcPr>
            <w:tcW w:w="7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年初财政拨款结转和结余</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10.18</w:t>
            </w: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年末财政拨款结转和结余</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8.25</w:t>
            </w: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8.25</w:t>
            </w: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lang w:val="en-US" w:eastAsia="zh-CN"/>
              </w:rPr>
              <w:t xml:space="preserve">  </w:t>
            </w:r>
            <w:r>
              <w:rPr>
                <w:rFonts w:hint="eastAsia" w:ascii="仿宋_GB2312" w:hAnsi="仿宋_GB2312" w:eastAsia="仿宋_GB2312" w:cs="仿宋_GB2312"/>
                <w:color w:val="000000"/>
                <w:kern w:val="0"/>
                <w:sz w:val="15"/>
                <w:szCs w:val="15"/>
                <w:highlight w:val="none"/>
              </w:rPr>
              <w:t>一般公共预算财政拨款</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仿宋_GB2312" w:hAnsi="仿宋_GB2312" w:eastAsia="仿宋_GB2312" w:cs="仿宋_GB2312"/>
                <w:color w:val="000000"/>
                <w:kern w:val="0"/>
                <w:sz w:val="15"/>
                <w:szCs w:val="15"/>
                <w:highlight w:val="none"/>
                <w:lang w:val="en-US" w:eastAsia="zh-CN"/>
              </w:rPr>
            </w:pPr>
            <w:r>
              <w:rPr>
                <w:rFonts w:hint="eastAsia" w:ascii="仿宋_GB2312" w:hAnsi="仿宋_GB2312" w:eastAsia="仿宋_GB2312" w:cs="仿宋_GB2312"/>
                <w:color w:val="000000"/>
                <w:kern w:val="0"/>
                <w:sz w:val="15"/>
                <w:szCs w:val="15"/>
                <w:highlight w:val="none"/>
                <w:lang w:val="en-US" w:eastAsia="zh-CN"/>
              </w:rPr>
              <w:t>10.18</w:t>
            </w: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lang w:val="en-US" w:eastAsia="zh-CN"/>
              </w:rPr>
              <w:t xml:space="preserve">  </w:t>
            </w:r>
            <w:r>
              <w:rPr>
                <w:rFonts w:hint="eastAsia" w:ascii="仿宋_GB2312" w:hAnsi="仿宋_GB2312" w:eastAsia="仿宋_GB2312" w:cs="仿宋_GB2312"/>
                <w:color w:val="000000"/>
                <w:kern w:val="0"/>
                <w:sz w:val="15"/>
                <w:szCs w:val="15"/>
                <w:highlight w:val="none"/>
              </w:rPr>
              <w:t>政府性基金预算财政拨款</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5"/>
                <w:szCs w:val="15"/>
                <w:highlight w:val="none"/>
                <w:lang w:eastAsia="zh-CN"/>
              </w:rPr>
            </w:pPr>
            <w:r>
              <w:rPr>
                <w:rFonts w:hint="eastAsia" w:ascii="仿宋_GB2312" w:hAnsi="仿宋_GB2312" w:eastAsia="仿宋_GB2312" w:cs="仿宋_GB2312"/>
                <w:color w:val="000000"/>
                <w:kern w:val="0"/>
                <w:sz w:val="15"/>
                <w:szCs w:val="15"/>
                <w:highlight w:val="none"/>
                <w:lang w:val="en-US" w:eastAsia="zh-CN"/>
              </w:rPr>
              <w:t xml:space="preserve">  </w:t>
            </w:r>
            <w:r>
              <w:rPr>
                <w:rFonts w:hint="eastAsia" w:ascii="仿宋_GB2312" w:hAnsi="仿宋_GB2312" w:eastAsia="仿宋_GB2312" w:cs="仿宋_GB2312"/>
                <w:color w:val="000000"/>
                <w:kern w:val="0"/>
                <w:sz w:val="15"/>
                <w:szCs w:val="15"/>
                <w:highlight w:val="none"/>
                <w:lang w:eastAsia="zh-CN"/>
              </w:rPr>
              <w:t>国有资本经营预算财政拨款</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highlight w:val="none"/>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79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c>
          <w:tcPr>
            <w:tcW w:w="812"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15"/>
                <w:szCs w:val="15"/>
                <w:highlight w:val="none"/>
              </w:rPr>
            </w:pPr>
          </w:p>
        </w:tc>
      </w:tr>
      <w:tr>
        <w:tblPrEx>
          <w:tblCellMar>
            <w:top w:w="0" w:type="dxa"/>
            <w:left w:w="108" w:type="dxa"/>
            <w:bottom w:w="0" w:type="dxa"/>
            <w:right w:w="108" w:type="dxa"/>
          </w:tblCellMar>
        </w:tblPrEx>
        <w:trPr>
          <w:trHeight w:val="283" w:hRule="exact"/>
          <w:jc w:val="center"/>
        </w:trPr>
        <w:tc>
          <w:tcPr>
            <w:tcW w:w="27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总计</w:t>
            </w:r>
          </w:p>
        </w:tc>
        <w:tc>
          <w:tcPr>
            <w:tcW w:w="6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126.64</w:t>
            </w:r>
          </w:p>
        </w:tc>
        <w:tc>
          <w:tcPr>
            <w:tcW w:w="27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ascii="宋体" w:hAnsi="宋体" w:cs="Arial"/>
                <w:b/>
                <w:bCs/>
                <w:color w:val="000000"/>
                <w:kern w:val="0"/>
                <w:szCs w:val="21"/>
                <w:highlight w:val="none"/>
              </w:rPr>
            </w:pPr>
            <w:r>
              <w:rPr>
                <w:rFonts w:hint="eastAsia" w:ascii="宋体" w:hAnsi="宋体" w:cs="Arial"/>
                <w:b/>
                <w:bCs/>
                <w:color w:val="000000"/>
                <w:kern w:val="0"/>
                <w:szCs w:val="21"/>
                <w:highlight w:val="none"/>
              </w:rPr>
              <w:t>总计</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126.64</w:t>
            </w:r>
          </w:p>
        </w:tc>
        <w:tc>
          <w:tcPr>
            <w:tcW w:w="7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126.64</w:t>
            </w:r>
          </w:p>
        </w:tc>
        <w:tc>
          <w:tcPr>
            <w:tcW w:w="7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ascii="宋体" w:hAnsi="宋体" w:cs="Arial"/>
                <w:color w:val="000000"/>
                <w:kern w:val="0"/>
                <w:sz w:val="15"/>
                <w:szCs w:val="15"/>
                <w:highlight w:val="none"/>
              </w:rPr>
            </w:pPr>
          </w:p>
        </w:tc>
        <w:tc>
          <w:tcPr>
            <w:tcW w:w="8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center"/>
              <w:textAlignment w:val="auto"/>
              <w:outlineLvl w:val="9"/>
              <w:rPr>
                <w:rFonts w:ascii="宋体" w:hAnsi="宋体" w:cs="Arial"/>
                <w:color w:val="000000"/>
                <w:kern w:val="0"/>
                <w:sz w:val="15"/>
                <w:szCs w:val="15"/>
                <w:highlight w:val="none"/>
              </w:rPr>
            </w:pPr>
          </w:p>
        </w:tc>
      </w:tr>
    </w:tbl>
    <w:p>
      <w:pPr>
        <w:pStyle w:val="7"/>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注：本表反映部门本年度一般公共预算财政拨款、政府性基金预算财政拨款和国有资本经营预算财政拨款的总收支和年末结转结余情况。</w:t>
      </w:r>
    </w:p>
    <w:p>
      <w:pPr>
        <w:pStyle w:val="6"/>
        <w:spacing w:line="240" w:lineRule="auto"/>
        <w:ind w:firstLine="0" w:firstLineChars="0"/>
        <w:outlineLvl w:val="1"/>
        <w:rPr>
          <w:rFonts w:ascii="仿宋" w:hAnsi="仿宋" w:eastAsia="仿宋"/>
          <w:sz w:val="32"/>
          <w:szCs w:val="32"/>
          <w:highlight w:val="none"/>
        </w:rPr>
      </w:pPr>
      <w:r>
        <w:rPr>
          <w:rFonts w:hint="eastAsia" w:ascii="仿宋" w:hAnsi="仿宋" w:eastAsia="仿宋"/>
          <w:sz w:val="32"/>
          <w:szCs w:val="32"/>
          <w:highlight w:val="none"/>
        </w:rPr>
        <w:br w:type="page"/>
      </w:r>
      <w:bookmarkStart w:id="10" w:name="_Toc23288"/>
      <w:r>
        <w:rPr>
          <w:rFonts w:hint="eastAsia" w:ascii="仿宋" w:hAnsi="仿宋" w:eastAsia="仿宋"/>
          <w:sz w:val="32"/>
          <w:szCs w:val="32"/>
          <w:highlight w:val="none"/>
        </w:rPr>
        <w:t>五、一般公共预算财政拨款支出决算表</w:t>
      </w:r>
      <w:bookmarkEnd w:id="10"/>
    </w:p>
    <w:p>
      <w:pPr>
        <w:spacing w:line="240" w:lineRule="auto"/>
        <w:jc w:val="center"/>
        <w:outlineLvl w:val="2"/>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一般公共</w:t>
      </w:r>
      <w:r>
        <w:rPr>
          <w:rFonts w:hint="eastAsia" w:ascii="方正小标宋简体" w:hAnsi="仿宋" w:eastAsia="方正小标宋简体"/>
          <w:sz w:val="44"/>
          <w:szCs w:val="44"/>
          <w:highlight w:val="none"/>
          <w:lang w:eastAsia="zh-CN"/>
        </w:rPr>
        <w:t>预算</w:t>
      </w:r>
      <w:r>
        <w:rPr>
          <w:rFonts w:hint="eastAsia" w:ascii="方正小标宋简体" w:hAnsi="仿宋" w:eastAsia="方正小标宋简体"/>
          <w:sz w:val="44"/>
          <w:szCs w:val="44"/>
          <w:highlight w:val="none"/>
        </w:rPr>
        <w:t>财政拨款支出决算表</w:t>
      </w:r>
    </w:p>
    <w:p>
      <w:pPr>
        <w:spacing w:line="240" w:lineRule="auto"/>
        <w:jc w:val="right"/>
        <w:rPr>
          <w:rFonts w:hint="eastAsia" w:ascii="宋体" w:hAnsi="宋体"/>
          <w:sz w:val="24"/>
          <w:szCs w:val="24"/>
          <w:highlight w:val="none"/>
        </w:rPr>
      </w:pPr>
    </w:p>
    <w:p>
      <w:pPr>
        <w:spacing w:line="240" w:lineRule="auto"/>
        <w:jc w:val="both"/>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val="en-US" w:eastAsia="zh-CN"/>
        </w:rPr>
        <w:t xml:space="preserve">公开05表 </w:t>
      </w:r>
      <w:r>
        <w:rPr>
          <w:rFonts w:hint="eastAsia" w:ascii="宋体" w:hAnsi="宋体" w:eastAsia="宋体" w:cs="Arial"/>
          <w:color w:val="000000"/>
          <w:kern w:val="0"/>
          <w:sz w:val="22"/>
          <w:highlight w:val="none"/>
        </w:rPr>
        <w:t>单位：万元</w:t>
      </w:r>
    </w:p>
    <w:tbl>
      <w:tblPr>
        <w:tblStyle w:val="4"/>
        <w:tblW w:w="9640" w:type="dxa"/>
        <w:jc w:val="center"/>
        <w:tblLayout w:type="fixed"/>
        <w:tblCellMar>
          <w:top w:w="0" w:type="dxa"/>
          <w:left w:w="108" w:type="dxa"/>
          <w:bottom w:w="0" w:type="dxa"/>
          <w:right w:w="108" w:type="dxa"/>
        </w:tblCellMar>
      </w:tblPr>
      <w:tblGrid>
        <w:gridCol w:w="1284"/>
        <w:gridCol w:w="3624"/>
        <w:gridCol w:w="1452"/>
        <w:gridCol w:w="1440"/>
        <w:gridCol w:w="1840"/>
      </w:tblGrid>
      <w:tr>
        <w:tblPrEx>
          <w:tblCellMar>
            <w:top w:w="0" w:type="dxa"/>
            <w:left w:w="108" w:type="dxa"/>
            <w:bottom w:w="0" w:type="dxa"/>
            <w:right w:w="108" w:type="dxa"/>
          </w:tblCellMar>
        </w:tblPrEx>
        <w:trPr>
          <w:trHeight w:val="510" w:hRule="atLeast"/>
          <w:jc w:val="center"/>
        </w:trPr>
        <w:tc>
          <w:tcPr>
            <w:tcW w:w="49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kern w:val="0"/>
                <w:szCs w:val="21"/>
                <w:highlight w:val="none"/>
              </w:rPr>
            </w:pPr>
            <w:r>
              <w:rPr>
                <w:rFonts w:hint="eastAsia" w:ascii="宋体" w:hAnsi="宋体" w:cs="Arial"/>
                <w:b/>
                <w:bCs/>
                <w:kern w:val="0"/>
                <w:szCs w:val="21"/>
                <w:highlight w:val="none"/>
              </w:rPr>
              <w:t>项   目</w:t>
            </w:r>
          </w:p>
        </w:tc>
        <w:tc>
          <w:tcPr>
            <w:tcW w:w="4732"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Arial"/>
                <w:b/>
                <w:bCs/>
                <w:kern w:val="0"/>
                <w:szCs w:val="21"/>
                <w:highlight w:val="none"/>
              </w:rPr>
            </w:pPr>
            <w:r>
              <w:rPr>
                <w:rFonts w:hint="eastAsia" w:ascii="宋体" w:hAnsi="宋体" w:cs="Arial"/>
                <w:b/>
                <w:bCs/>
                <w:kern w:val="0"/>
                <w:szCs w:val="21"/>
                <w:highlight w:val="none"/>
              </w:rPr>
              <w:t>本年支出</w:t>
            </w:r>
          </w:p>
        </w:tc>
      </w:tr>
      <w:tr>
        <w:tblPrEx>
          <w:tblCellMar>
            <w:top w:w="0" w:type="dxa"/>
            <w:left w:w="108" w:type="dxa"/>
            <w:bottom w:w="0" w:type="dxa"/>
            <w:right w:w="108" w:type="dxa"/>
          </w:tblCellMar>
        </w:tblPrEx>
        <w:trPr>
          <w:trHeight w:val="5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功能分类</w:t>
            </w:r>
            <w:r>
              <w:rPr>
                <w:rFonts w:hint="eastAsia" w:ascii="宋体" w:hAnsi="宋体" w:cs="Arial"/>
                <w:b/>
                <w:bCs/>
                <w:color w:val="000000"/>
                <w:kern w:val="0"/>
                <w:szCs w:val="21"/>
                <w:highlight w:val="none"/>
              </w:rPr>
              <w:br w:type="textWrapping"/>
            </w:r>
            <w:r>
              <w:rPr>
                <w:rFonts w:hint="eastAsia" w:ascii="宋体" w:hAnsi="宋体" w:cs="Arial"/>
                <w:b/>
                <w:bCs/>
                <w:color w:val="000000"/>
                <w:kern w:val="0"/>
                <w:szCs w:val="21"/>
                <w:highlight w:val="none"/>
              </w:rPr>
              <w:t>科目编码</w:t>
            </w:r>
          </w:p>
        </w:tc>
        <w:tc>
          <w:tcPr>
            <w:tcW w:w="3624"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科目名称</w:t>
            </w: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小计</w:t>
            </w: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基本支出</w:t>
            </w: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Cs w:val="21"/>
                <w:highlight w:val="none"/>
              </w:rPr>
            </w:pPr>
            <w:r>
              <w:rPr>
                <w:rFonts w:hint="eastAsia" w:ascii="宋体" w:hAnsi="宋体" w:cs="Arial"/>
                <w:b/>
                <w:bCs/>
                <w:color w:val="000000"/>
                <w:kern w:val="0"/>
                <w:szCs w:val="21"/>
                <w:highlight w:val="none"/>
              </w:rPr>
              <w:t>项目支出</w:t>
            </w:r>
          </w:p>
        </w:tc>
      </w:tr>
      <w:tr>
        <w:tblPrEx>
          <w:tblCellMar>
            <w:top w:w="0" w:type="dxa"/>
            <w:left w:w="108" w:type="dxa"/>
            <w:bottom w:w="0" w:type="dxa"/>
            <w:right w:w="108" w:type="dxa"/>
          </w:tblCellMar>
        </w:tblPrEx>
        <w:trPr>
          <w:trHeight w:val="340" w:hRule="atLeast"/>
          <w:jc w:val="center"/>
        </w:trPr>
        <w:tc>
          <w:tcPr>
            <w:tcW w:w="4908"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ascii="宋体" w:hAnsi="宋体" w:cs="Arial"/>
                <w:color w:val="000000"/>
                <w:kern w:val="0"/>
                <w:szCs w:val="21"/>
                <w:highlight w:val="none"/>
              </w:rPr>
            </w:pPr>
            <w:r>
              <w:rPr>
                <w:rFonts w:hint="eastAsia" w:ascii="宋体" w:hAnsi="宋体" w:cs="Arial"/>
                <w:color w:val="000000"/>
                <w:kern w:val="0"/>
                <w:szCs w:val="21"/>
                <w:highlight w:val="none"/>
              </w:rPr>
              <w:t>合计</w:t>
            </w: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118.39</w:t>
            </w: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118.39</w:t>
            </w: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205</w:t>
            </w: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教育支出</w:t>
            </w: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color w:val="000000"/>
                <w:kern w:val="0"/>
                <w:szCs w:val="21"/>
                <w:highlight w:val="none"/>
              </w:rPr>
            </w:pPr>
            <w:r>
              <w:rPr>
                <w:rFonts w:hint="eastAsia" w:ascii="宋体" w:hAnsi="宋体" w:cs="Arial"/>
                <w:color w:val="000000"/>
                <w:kern w:val="0"/>
                <w:szCs w:val="21"/>
                <w:highlight w:val="none"/>
                <w:lang w:val="en-US" w:eastAsia="zh-CN"/>
              </w:rPr>
              <w:t>118.39</w:t>
            </w: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color w:val="000000"/>
                <w:kern w:val="0"/>
                <w:szCs w:val="21"/>
                <w:highlight w:val="none"/>
              </w:rPr>
            </w:pPr>
            <w:r>
              <w:rPr>
                <w:rFonts w:hint="eastAsia" w:ascii="宋体" w:hAnsi="宋体" w:cs="Arial"/>
                <w:color w:val="000000"/>
                <w:kern w:val="0"/>
                <w:szCs w:val="21"/>
                <w:highlight w:val="none"/>
                <w:lang w:val="en-US" w:eastAsia="zh-CN"/>
              </w:rPr>
              <w:t>118.39</w:t>
            </w: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20503</w:t>
            </w: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职业教育</w:t>
            </w: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118.39</w:t>
            </w: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118.39</w:t>
            </w: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2050302</w:t>
            </w: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r>
              <w:rPr>
                <w:rFonts w:hint="eastAsia" w:ascii="宋体" w:hAnsi="宋体" w:cs="Arial"/>
                <w:color w:val="000000"/>
                <w:kern w:val="0"/>
                <w:szCs w:val="21"/>
                <w:highlight w:val="none"/>
                <w:lang w:val="en-US" w:eastAsia="zh-CN"/>
              </w:rPr>
              <w:t>中等职业教育</w:t>
            </w: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118.39</w:t>
            </w: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r>
              <w:rPr>
                <w:rFonts w:hint="eastAsia" w:ascii="宋体" w:hAnsi="宋体" w:cs="Arial"/>
                <w:color w:val="000000"/>
                <w:kern w:val="0"/>
                <w:szCs w:val="21"/>
                <w:highlight w:val="none"/>
                <w:lang w:val="en-US" w:eastAsia="zh-CN"/>
              </w:rPr>
              <w:t>118.39</w:t>
            </w: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default" w:ascii="宋体" w:hAnsi="宋体" w:cs="Arial" w:eastAsiaTheme="minorEastAsia"/>
                <w:color w:val="000000"/>
                <w:kern w:val="0"/>
                <w:szCs w:val="21"/>
                <w:highlight w:val="none"/>
                <w:lang w:val="en-US" w:eastAsia="zh-CN"/>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r>
        <w:tblPrEx>
          <w:tblCellMar>
            <w:top w:w="0" w:type="dxa"/>
            <w:left w:w="108" w:type="dxa"/>
            <w:bottom w:w="0" w:type="dxa"/>
            <w:right w:w="108" w:type="dxa"/>
          </w:tblCellMar>
        </w:tblPrEx>
        <w:trPr>
          <w:trHeight w:val="340" w:hRule="atLeast"/>
          <w:jc w:val="center"/>
        </w:trPr>
        <w:tc>
          <w:tcPr>
            <w:tcW w:w="1284" w:type="dxa"/>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3624"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cs="Arial"/>
                <w:color w:val="000000"/>
                <w:kern w:val="0"/>
                <w:szCs w:val="21"/>
                <w:highlight w:val="none"/>
              </w:rPr>
            </w:pPr>
          </w:p>
        </w:tc>
        <w:tc>
          <w:tcPr>
            <w:tcW w:w="1452"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4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c>
          <w:tcPr>
            <w:tcW w:w="18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cs="Arial"/>
                <w:color w:val="000000"/>
                <w:kern w:val="0"/>
                <w:szCs w:val="21"/>
                <w:highlight w:val="none"/>
              </w:rPr>
            </w:pP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注：本表反映部门本年度一般公共预算财政拨款支出情况。</w:t>
      </w:r>
    </w:p>
    <w:p>
      <w:pPr>
        <w:spacing w:line="240" w:lineRule="auto"/>
        <w:jc w:val="center"/>
        <w:rPr>
          <w:rFonts w:ascii="仿宋" w:hAnsi="仿宋" w:eastAsia="仿宋"/>
          <w:sz w:val="44"/>
          <w:szCs w:val="44"/>
          <w:highlight w:val="none"/>
        </w:rPr>
        <w:sectPr>
          <w:pgSz w:w="11906" w:h="16838"/>
          <w:pgMar w:top="1588" w:right="1474" w:bottom="1588" w:left="1588" w:header="851" w:footer="992" w:gutter="0"/>
          <w:cols w:space="720" w:num="1"/>
          <w:docGrid w:linePitch="312" w:charSpace="0"/>
        </w:sectPr>
      </w:pPr>
    </w:p>
    <w:p>
      <w:pPr>
        <w:pStyle w:val="6"/>
        <w:spacing w:line="240" w:lineRule="auto"/>
        <w:ind w:firstLine="0" w:firstLineChars="0"/>
        <w:outlineLvl w:val="1"/>
        <w:rPr>
          <w:rFonts w:ascii="仿宋" w:hAnsi="仿宋" w:eastAsia="仿宋"/>
          <w:sz w:val="32"/>
          <w:szCs w:val="32"/>
          <w:highlight w:val="none"/>
        </w:rPr>
      </w:pPr>
      <w:bookmarkStart w:id="11" w:name="_Toc25734"/>
      <w:r>
        <w:rPr>
          <w:rFonts w:hint="eastAsia" w:ascii="仿宋" w:hAnsi="仿宋" w:eastAsia="仿宋"/>
          <w:sz w:val="32"/>
          <w:szCs w:val="32"/>
          <w:highlight w:val="none"/>
          <w:lang w:eastAsia="zh-CN"/>
        </w:rPr>
        <w:t>六</w:t>
      </w:r>
      <w:r>
        <w:rPr>
          <w:rFonts w:hint="eastAsia" w:ascii="仿宋" w:hAnsi="仿宋" w:eastAsia="仿宋"/>
          <w:sz w:val="32"/>
          <w:szCs w:val="32"/>
          <w:highlight w:val="none"/>
        </w:rPr>
        <w:t>、一般公共预算财政拨款基本支出决算表</w:t>
      </w:r>
      <w:bookmarkEnd w:id="11"/>
    </w:p>
    <w:p>
      <w:pPr>
        <w:spacing w:line="240" w:lineRule="auto"/>
        <w:jc w:val="center"/>
        <w:outlineLvl w:val="2"/>
        <w:rPr>
          <w:rFonts w:hint="eastAsia" w:ascii="方正小标宋简体" w:hAnsi="仿宋" w:eastAsia="方正小标宋简体"/>
          <w:sz w:val="40"/>
          <w:szCs w:val="40"/>
          <w:highlight w:val="none"/>
        </w:rPr>
      </w:pPr>
      <w:r>
        <w:rPr>
          <w:rFonts w:hint="eastAsia" w:ascii="方正小标宋简体" w:hAnsi="仿宋" w:eastAsia="方正小标宋简体"/>
          <w:sz w:val="40"/>
          <w:szCs w:val="40"/>
          <w:highlight w:val="none"/>
        </w:rPr>
        <w:t>一般公共预算财政拨款基本支出决算表</w:t>
      </w:r>
    </w:p>
    <w:p>
      <w:pPr>
        <w:spacing w:line="240" w:lineRule="auto"/>
        <w:jc w:val="both"/>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lang w:val="en-US" w:eastAsia="zh-CN"/>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val="en-US" w:eastAsia="zh-CN"/>
        </w:rPr>
        <w:t xml:space="preserve">公开06表 </w:t>
      </w:r>
      <w:r>
        <w:rPr>
          <w:rFonts w:hint="eastAsia" w:ascii="宋体" w:hAnsi="宋体" w:eastAsia="宋体" w:cs="Arial"/>
          <w:color w:val="000000"/>
          <w:kern w:val="0"/>
          <w:sz w:val="22"/>
          <w:highlight w:val="none"/>
        </w:rPr>
        <w:t>单位：万元</w:t>
      </w:r>
    </w:p>
    <w:tbl>
      <w:tblPr>
        <w:tblStyle w:val="4"/>
        <w:tblW w:w="14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417"/>
        <w:gridCol w:w="884"/>
        <w:gridCol w:w="1137"/>
        <w:gridCol w:w="2353"/>
        <w:gridCol w:w="916"/>
        <w:gridCol w:w="1231"/>
        <w:gridCol w:w="2886"/>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5459" w:type="dxa"/>
            <w:gridSpan w:val="3"/>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人 员 经 费</w:t>
            </w:r>
          </w:p>
        </w:tc>
        <w:tc>
          <w:tcPr>
            <w:tcW w:w="9455" w:type="dxa"/>
            <w:gridSpan w:val="6"/>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公 用 经 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blHeader/>
          <w:jc w:val="center"/>
        </w:trPr>
        <w:tc>
          <w:tcPr>
            <w:tcW w:w="1158" w:type="dxa"/>
            <w:vAlign w:val="center"/>
          </w:tcPr>
          <w:p>
            <w:pPr>
              <w:widowControl/>
              <w:spacing w:line="240" w:lineRule="auto"/>
              <w:jc w:val="center"/>
              <w:rPr>
                <w:rFonts w:hint="eastAsia"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经济分类</w:t>
            </w:r>
          </w:p>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科目编码</w:t>
            </w:r>
          </w:p>
        </w:tc>
        <w:tc>
          <w:tcPr>
            <w:tcW w:w="3417"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科 目 名 称</w:t>
            </w:r>
          </w:p>
        </w:tc>
        <w:tc>
          <w:tcPr>
            <w:tcW w:w="884"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金 额</w:t>
            </w:r>
          </w:p>
        </w:tc>
        <w:tc>
          <w:tcPr>
            <w:tcW w:w="1137"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经济分类</w:t>
            </w:r>
            <w:r>
              <w:rPr>
                <w:rFonts w:hint="eastAsia" w:ascii="宋体" w:hAnsi="宋体" w:cs="Arial"/>
                <w:b/>
                <w:bCs/>
                <w:color w:val="000000"/>
                <w:kern w:val="0"/>
                <w:sz w:val="18"/>
                <w:szCs w:val="18"/>
                <w:highlight w:val="none"/>
              </w:rPr>
              <w:br w:type="textWrapping"/>
            </w:r>
            <w:r>
              <w:rPr>
                <w:rFonts w:hint="eastAsia" w:ascii="宋体" w:hAnsi="宋体" w:cs="Arial"/>
                <w:b/>
                <w:bCs/>
                <w:color w:val="000000"/>
                <w:kern w:val="0"/>
                <w:sz w:val="18"/>
                <w:szCs w:val="18"/>
                <w:highlight w:val="none"/>
              </w:rPr>
              <w:t>科目编码</w:t>
            </w:r>
          </w:p>
        </w:tc>
        <w:tc>
          <w:tcPr>
            <w:tcW w:w="2353"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科 目 名 称</w:t>
            </w:r>
          </w:p>
        </w:tc>
        <w:tc>
          <w:tcPr>
            <w:tcW w:w="916"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金 额</w:t>
            </w:r>
          </w:p>
        </w:tc>
        <w:tc>
          <w:tcPr>
            <w:tcW w:w="1231"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经济分类</w:t>
            </w:r>
            <w:r>
              <w:rPr>
                <w:rFonts w:hint="eastAsia" w:ascii="宋体" w:hAnsi="宋体" w:cs="Arial"/>
                <w:b/>
                <w:bCs/>
                <w:color w:val="000000"/>
                <w:kern w:val="0"/>
                <w:sz w:val="18"/>
                <w:szCs w:val="18"/>
                <w:highlight w:val="none"/>
              </w:rPr>
              <w:br w:type="textWrapping"/>
            </w:r>
            <w:r>
              <w:rPr>
                <w:rFonts w:hint="eastAsia" w:ascii="宋体" w:hAnsi="宋体" w:cs="Arial"/>
                <w:b/>
                <w:bCs/>
                <w:color w:val="000000"/>
                <w:kern w:val="0"/>
                <w:sz w:val="18"/>
                <w:szCs w:val="18"/>
                <w:highlight w:val="none"/>
              </w:rPr>
              <w:t>科目编码</w:t>
            </w:r>
          </w:p>
        </w:tc>
        <w:tc>
          <w:tcPr>
            <w:tcW w:w="2886"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科 目 名 称</w:t>
            </w:r>
          </w:p>
        </w:tc>
        <w:tc>
          <w:tcPr>
            <w:tcW w:w="932" w:type="dxa"/>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exact"/>
          <w:jc w:val="center"/>
        </w:trPr>
        <w:tc>
          <w:tcPr>
            <w:tcW w:w="1158"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301</w:t>
            </w:r>
          </w:p>
        </w:tc>
        <w:tc>
          <w:tcPr>
            <w:tcW w:w="3417"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工资福利支出</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91.59</w:t>
            </w:r>
          </w:p>
        </w:tc>
        <w:tc>
          <w:tcPr>
            <w:tcW w:w="1137"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302</w:t>
            </w:r>
          </w:p>
        </w:tc>
        <w:tc>
          <w:tcPr>
            <w:tcW w:w="2353"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商品和服务支出</w:t>
            </w:r>
          </w:p>
        </w:tc>
        <w:tc>
          <w:tcPr>
            <w:tcW w:w="916"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3.30</w:t>
            </w:r>
          </w:p>
        </w:tc>
        <w:tc>
          <w:tcPr>
            <w:tcW w:w="1231" w:type="dxa"/>
            <w:vAlign w:val="center"/>
          </w:tcPr>
          <w:p>
            <w:pPr>
              <w:widowControl/>
              <w:spacing w:line="240" w:lineRule="auto"/>
              <w:jc w:val="left"/>
              <w:rPr>
                <w:rFonts w:hint="eastAsia" w:ascii="宋体" w:hAnsi="宋体" w:cs="Arial" w:eastAsiaTheme="minorEastAsia"/>
                <w:kern w:val="0"/>
                <w:sz w:val="18"/>
                <w:szCs w:val="18"/>
                <w:highlight w:val="none"/>
                <w:lang w:val="en-US" w:eastAsia="zh-CN"/>
              </w:rPr>
            </w:pPr>
            <w:r>
              <w:rPr>
                <w:rFonts w:hint="eastAsia" w:ascii="宋体" w:hAnsi="宋体" w:cs="Arial"/>
                <w:kern w:val="0"/>
                <w:sz w:val="18"/>
                <w:szCs w:val="18"/>
                <w:highlight w:val="none"/>
                <w:lang w:val="en-US" w:eastAsia="zh-CN"/>
              </w:rPr>
              <w:t>30703</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w:t>
            </w:r>
            <w:r>
              <w:rPr>
                <w:rFonts w:hint="eastAsia" w:ascii="宋体" w:hAnsi="宋体" w:cs="Arial"/>
                <w:kern w:val="0"/>
                <w:sz w:val="18"/>
                <w:szCs w:val="18"/>
                <w:highlight w:val="none"/>
                <w:lang w:eastAsia="zh-CN"/>
              </w:rPr>
              <w:t>国内债务发行费用</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30101</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基本工资</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20.23</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30201</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办公费</w:t>
            </w:r>
          </w:p>
        </w:tc>
        <w:tc>
          <w:tcPr>
            <w:tcW w:w="916"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0.94</w:t>
            </w: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w:t>
            </w:r>
            <w:r>
              <w:rPr>
                <w:rFonts w:hint="eastAsia" w:ascii="宋体" w:hAnsi="宋体" w:cs="Arial"/>
                <w:kern w:val="0"/>
                <w:sz w:val="18"/>
                <w:szCs w:val="18"/>
                <w:highlight w:val="none"/>
                <w:lang w:val="en-US" w:eastAsia="zh-CN"/>
              </w:rPr>
              <w:t>0704</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w:t>
            </w:r>
            <w:r>
              <w:rPr>
                <w:rFonts w:hint="eastAsia" w:ascii="宋体" w:hAnsi="宋体" w:cs="Arial"/>
                <w:kern w:val="0"/>
                <w:sz w:val="18"/>
                <w:szCs w:val="18"/>
                <w:highlight w:val="none"/>
                <w:lang w:eastAsia="zh-CN"/>
              </w:rPr>
              <w:t>国外债务发行费用</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30102</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津贴补贴</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3.11</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30202</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印刷费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310</w:t>
            </w:r>
          </w:p>
        </w:tc>
        <w:tc>
          <w:tcPr>
            <w:tcW w:w="2886"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资本性支出</w:t>
            </w:r>
          </w:p>
        </w:tc>
        <w:tc>
          <w:tcPr>
            <w:tcW w:w="932"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30103</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奖金</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7.20</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30203</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咨询费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31001</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房屋建筑物购建</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30106</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伙食补助费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30204</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手续费</w:t>
            </w:r>
          </w:p>
        </w:tc>
        <w:tc>
          <w:tcPr>
            <w:tcW w:w="916" w:type="dxa"/>
            <w:vAlign w:val="center"/>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31002</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办公设备购置</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30107</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绩效工资</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15.26</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30205</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水费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31003</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专用设备购置</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30108</w:t>
            </w:r>
          </w:p>
        </w:tc>
        <w:tc>
          <w:tcPr>
            <w:tcW w:w="3417"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 xml:space="preserve">  机关事业单位基本养老保险缴费</w:t>
            </w:r>
          </w:p>
        </w:tc>
        <w:tc>
          <w:tcPr>
            <w:tcW w:w="884" w:type="dxa"/>
            <w:vAlign w:val="center"/>
          </w:tcPr>
          <w:p>
            <w:pPr>
              <w:widowControl/>
              <w:spacing w:line="240" w:lineRule="auto"/>
              <w:jc w:val="right"/>
              <w:rPr>
                <w:rFonts w:hint="default" w:ascii="宋体" w:hAnsi="宋体" w:cs="Arial" w:eastAsiaTheme="minorEastAsia"/>
                <w:kern w:val="0"/>
                <w:sz w:val="15"/>
                <w:szCs w:val="15"/>
                <w:highlight w:val="none"/>
                <w:lang w:val="en-US" w:eastAsia="zh-CN"/>
              </w:rPr>
            </w:pPr>
            <w:r>
              <w:rPr>
                <w:rFonts w:hint="eastAsia" w:ascii="宋体" w:hAnsi="宋体" w:cs="Arial"/>
                <w:kern w:val="0"/>
                <w:sz w:val="15"/>
                <w:szCs w:val="15"/>
                <w:highlight w:val="none"/>
                <w:lang w:val="en-US" w:eastAsia="zh-CN"/>
              </w:rPr>
              <w:t>8.06</w:t>
            </w:r>
          </w:p>
        </w:tc>
        <w:tc>
          <w:tcPr>
            <w:tcW w:w="1137"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30206</w:t>
            </w:r>
          </w:p>
        </w:tc>
        <w:tc>
          <w:tcPr>
            <w:tcW w:w="2353"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 xml:space="preserve">  电费</w:t>
            </w:r>
          </w:p>
        </w:tc>
        <w:tc>
          <w:tcPr>
            <w:tcW w:w="916" w:type="dxa"/>
            <w:vAlign w:val="bottom"/>
          </w:tcPr>
          <w:p>
            <w:pPr>
              <w:widowControl/>
              <w:spacing w:line="240" w:lineRule="auto"/>
              <w:jc w:val="right"/>
              <w:rPr>
                <w:rFonts w:hint="eastAsia" w:ascii="宋体" w:hAnsi="宋体" w:cs="Arial"/>
                <w:kern w:val="0"/>
                <w:sz w:val="15"/>
                <w:szCs w:val="15"/>
                <w:highlight w:val="none"/>
              </w:rPr>
            </w:pPr>
          </w:p>
        </w:tc>
        <w:tc>
          <w:tcPr>
            <w:tcW w:w="1231"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31005</w:t>
            </w:r>
          </w:p>
        </w:tc>
        <w:tc>
          <w:tcPr>
            <w:tcW w:w="2886"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 xml:space="preserve">  基础设施建设</w:t>
            </w:r>
          </w:p>
        </w:tc>
        <w:tc>
          <w:tcPr>
            <w:tcW w:w="932" w:type="dxa"/>
            <w:vAlign w:val="center"/>
          </w:tcPr>
          <w:p>
            <w:pPr>
              <w:widowControl/>
              <w:spacing w:line="240" w:lineRule="auto"/>
              <w:jc w:val="right"/>
              <w:rPr>
                <w:rFonts w:hint="eastAsia" w:ascii="宋体" w:hAnsi="宋体" w:cs="Arial"/>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30109</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职业年金缴费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30207</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邮电费</w:t>
            </w:r>
          </w:p>
        </w:tc>
        <w:tc>
          <w:tcPr>
            <w:tcW w:w="916"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0.60</w:t>
            </w: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31006</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大型修缮</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30110</w:t>
            </w:r>
          </w:p>
        </w:tc>
        <w:tc>
          <w:tcPr>
            <w:tcW w:w="3417"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 xml:space="preserve">  职工基本医疗保险缴费</w:t>
            </w:r>
          </w:p>
        </w:tc>
        <w:tc>
          <w:tcPr>
            <w:tcW w:w="884" w:type="dxa"/>
            <w:vAlign w:val="bottom"/>
          </w:tcPr>
          <w:p>
            <w:pPr>
              <w:widowControl/>
              <w:spacing w:line="240" w:lineRule="auto"/>
              <w:jc w:val="right"/>
              <w:rPr>
                <w:rFonts w:hint="default" w:ascii="宋体" w:hAnsi="宋体" w:cs="Arial" w:eastAsiaTheme="minorEastAsia"/>
                <w:kern w:val="0"/>
                <w:sz w:val="15"/>
                <w:szCs w:val="15"/>
                <w:highlight w:val="none"/>
                <w:lang w:val="en-US" w:eastAsia="zh-CN"/>
              </w:rPr>
            </w:pPr>
            <w:r>
              <w:rPr>
                <w:rFonts w:hint="eastAsia" w:ascii="宋体" w:hAnsi="宋体" w:cs="Arial"/>
                <w:kern w:val="0"/>
                <w:sz w:val="15"/>
                <w:szCs w:val="15"/>
                <w:highlight w:val="none"/>
                <w:lang w:val="en-US" w:eastAsia="zh-CN"/>
              </w:rPr>
              <w:t>4.10</w:t>
            </w:r>
          </w:p>
        </w:tc>
        <w:tc>
          <w:tcPr>
            <w:tcW w:w="1137"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302</w:t>
            </w:r>
            <w:r>
              <w:rPr>
                <w:rFonts w:hint="eastAsia" w:ascii="宋体" w:hAnsi="宋体" w:cs="Arial"/>
                <w:kern w:val="0"/>
                <w:sz w:val="18"/>
                <w:szCs w:val="18"/>
                <w:highlight w:val="none"/>
                <w:lang w:val="en-US" w:eastAsia="zh-CN"/>
              </w:rPr>
              <w:t>08</w:t>
            </w:r>
          </w:p>
        </w:tc>
        <w:tc>
          <w:tcPr>
            <w:tcW w:w="2353"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 xml:space="preserve">  取暖费</w:t>
            </w:r>
          </w:p>
        </w:tc>
        <w:tc>
          <w:tcPr>
            <w:tcW w:w="916" w:type="dxa"/>
            <w:vAlign w:val="bottom"/>
          </w:tcPr>
          <w:p>
            <w:pPr>
              <w:widowControl/>
              <w:spacing w:line="240" w:lineRule="auto"/>
              <w:jc w:val="right"/>
              <w:rPr>
                <w:rFonts w:hint="eastAsia" w:ascii="宋体" w:hAnsi="宋体" w:cs="Arial"/>
                <w:kern w:val="0"/>
                <w:sz w:val="15"/>
                <w:szCs w:val="15"/>
                <w:highlight w:val="none"/>
              </w:rPr>
            </w:pPr>
          </w:p>
        </w:tc>
        <w:tc>
          <w:tcPr>
            <w:tcW w:w="1231"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31007</w:t>
            </w:r>
          </w:p>
        </w:tc>
        <w:tc>
          <w:tcPr>
            <w:tcW w:w="2886" w:type="dxa"/>
            <w:vAlign w:val="center"/>
          </w:tcPr>
          <w:p>
            <w:pPr>
              <w:widowControl/>
              <w:spacing w:line="240" w:lineRule="auto"/>
              <w:jc w:val="left"/>
              <w:rPr>
                <w:rFonts w:hint="eastAsia" w:ascii="宋体" w:hAnsi="宋体" w:cs="Arial"/>
                <w:kern w:val="0"/>
                <w:sz w:val="18"/>
                <w:szCs w:val="18"/>
                <w:highlight w:val="none"/>
              </w:rPr>
            </w:pPr>
            <w:r>
              <w:rPr>
                <w:rFonts w:hint="eastAsia" w:ascii="宋体" w:hAnsi="宋体" w:cs="Arial"/>
                <w:kern w:val="0"/>
                <w:sz w:val="18"/>
                <w:szCs w:val="18"/>
                <w:highlight w:val="none"/>
              </w:rPr>
              <w:t xml:space="preserve">  信息网络及软件购置更新</w:t>
            </w:r>
          </w:p>
        </w:tc>
        <w:tc>
          <w:tcPr>
            <w:tcW w:w="932" w:type="dxa"/>
            <w:vAlign w:val="bottom"/>
          </w:tcPr>
          <w:p>
            <w:pPr>
              <w:widowControl/>
              <w:spacing w:line="240" w:lineRule="auto"/>
              <w:jc w:val="right"/>
              <w:rPr>
                <w:rFonts w:hint="eastAsia" w:ascii="宋体" w:hAnsi="宋体" w:cs="Arial"/>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30111</w:t>
            </w:r>
          </w:p>
        </w:tc>
        <w:tc>
          <w:tcPr>
            <w:tcW w:w="3417" w:type="dxa"/>
            <w:vAlign w:val="bottom"/>
          </w:tcPr>
          <w:p>
            <w:pPr>
              <w:widowControl/>
              <w:spacing w:line="240" w:lineRule="auto"/>
              <w:jc w:val="left"/>
              <w:rPr>
                <w:rFonts w:ascii="Arial" w:hAnsi="Arial" w:cs="Arial"/>
                <w:color w:val="000000"/>
                <w:kern w:val="0"/>
                <w:sz w:val="18"/>
                <w:szCs w:val="18"/>
                <w:highlight w:val="none"/>
              </w:rPr>
            </w:pPr>
            <w:r>
              <w:rPr>
                <w:rFonts w:ascii="Arial" w:hAnsi="Arial" w:cs="Arial"/>
                <w:color w:val="000000"/>
                <w:kern w:val="0"/>
                <w:sz w:val="18"/>
                <w:szCs w:val="18"/>
                <w:highlight w:val="none"/>
              </w:rPr>
              <w:t xml:space="preserve">  </w:t>
            </w:r>
            <w:r>
              <w:rPr>
                <w:rFonts w:hint="eastAsia" w:ascii="宋体" w:hAnsi="宋体" w:cs="Arial"/>
                <w:color w:val="000000"/>
                <w:kern w:val="0"/>
                <w:sz w:val="18"/>
                <w:szCs w:val="18"/>
                <w:highlight w:val="none"/>
              </w:rPr>
              <w:t>公务员医疗补助缴费</w:t>
            </w:r>
          </w:p>
        </w:tc>
        <w:tc>
          <w:tcPr>
            <w:tcW w:w="884" w:type="dxa"/>
            <w:vAlign w:val="bottom"/>
          </w:tcPr>
          <w:p>
            <w:pPr>
              <w:widowControl/>
              <w:spacing w:line="240" w:lineRule="auto"/>
              <w:jc w:val="right"/>
              <w:rPr>
                <w:rFonts w:ascii="Arial" w:hAnsi="Arial"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30209</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物业管理费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31008</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物资储备</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30112</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其他社会保障缴费</w:t>
            </w:r>
          </w:p>
        </w:tc>
        <w:tc>
          <w:tcPr>
            <w:tcW w:w="884"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0.77</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30211</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差旅费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31009</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土地补偿</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30113</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住房公积金</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8.90</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30212</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因公出国(境)费用 </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31010</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安置补助</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30114</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医疗费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30213</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维修(护)费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31011</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地上附着物和青苗补偿</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30199</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其他工资福利支出</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23.97</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30214</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租赁费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31012</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拆迁补偿</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303</w:t>
            </w:r>
          </w:p>
        </w:tc>
        <w:tc>
          <w:tcPr>
            <w:tcW w:w="3417"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对个人和家庭的补助</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23.37</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30215</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会议费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31013</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公务用车购置</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30301</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离休费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30216</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培训费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31019</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其他交通工具购置</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30302</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退休费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30217</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公务接待费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31021</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文物和陈列品购置</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30303</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退职(役)费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30218</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专用材料费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31022</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无形资产购置</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30304</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抚恤金</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30224</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被装购置费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31099</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其他资本性支出</w:t>
            </w:r>
          </w:p>
        </w:tc>
        <w:tc>
          <w:tcPr>
            <w:tcW w:w="932"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30305</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生活补助</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30225</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专用燃料费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312</w:t>
            </w:r>
          </w:p>
        </w:tc>
        <w:tc>
          <w:tcPr>
            <w:tcW w:w="2886"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对企业补助</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30306</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救济费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30226</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劳务费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31201</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资本金注入</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30307</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医疗费补助</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30227</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委托业务费</w:t>
            </w:r>
          </w:p>
        </w:tc>
        <w:tc>
          <w:tcPr>
            <w:tcW w:w="916"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0.10</w:t>
            </w: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31203</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政府投资基金股权投资</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30308</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助学金</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30228</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工会经费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31204</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费用补贴</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30309</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奖励金</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30229</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福利费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31205</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利息补贴</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30310</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个人农业生产补贴</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30231</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公务用车运行维护费</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31299</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其他对企业补助</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303</w:t>
            </w:r>
            <w:r>
              <w:rPr>
                <w:rFonts w:hint="eastAsia" w:ascii="宋体" w:hAnsi="宋体" w:cs="Arial"/>
                <w:kern w:val="0"/>
                <w:sz w:val="18"/>
                <w:szCs w:val="18"/>
                <w:highlight w:val="none"/>
                <w:lang w:val="en-US" w:eastAsia="zh-CN"/>
              </w:rPr>
              <w:t>11</w:t>
            </w:r>
          </w:p>
        </w:tc>
        <w:tc>
          <w:tcPr>
            <w:tcW w:w="341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w:t>
            </w:r>
            <w:r>
              <w:rPr>
                <w:rFonts w:hint="eastAsia" w:ascii="宋体" w:hAnsi="宋体" w:cs="Arial"/>
                <w:kern w:val="0"/>
                <w:sz w:val="18"/>
                <w:szCs w:val="18"/>
                <w:highlight w:val="none"/>
                <w:lang w:eastAsia="zh-CN"/>
              </w:rPr>
              <w:t>代缴社会保险费</w:t>
            </w: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30239</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其他交通费用</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399</w:t>
            </w:r>
          </w:p>
        </w:tc>
        <w:tc>
          <w:tcPr>
            <w:tcW w:w="2886"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其他支出</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hint="eastAsia" w:ascii="宋体" w:hAnsi="宋体" w:eastAsia="宋体" w:cs="Arial"/>
                <w:kern w:val="0"/>
                <w:sz w:val="18"/>
                <w:szCs w:val="18"/>
                <w:highlight w:val="none"/>
                <w:lang w:val="en-US" w:eastAsia="zh-CN"/>
              </w:rPr>
            </w:pPr>
            <w:r>
              <w:rPr>
                <w:rFonts w:hint="eastAsia" w:ascii="宋体" w:hAnsi="宋体" w:cs="Arial"/>
                <w:kern w:val="0"/>
                <w:sz w:val="18"/>
                <w:szCs w:val="18"/>
                <w:highlight w:val="none"/>
                <w:lang w:val="en-US" w:eastAsia="zh-CN"/>
              </w:rPr>
              <w:t>30399</w:t>
            </w:r>
          </w:p>
        </w:tc>
        <w:tc>
          <w:tcPr>
            <w:tcW w:w="3417" w:type="dxa"/>
            <w:vAlign w:val="center"/>
          </w:tcPr>
          <w:p>
            <w:pPr>
              <w:widowControl/>
              <w:spacing w:line="240" w:lineRule="auto"/>
              <w:jc w:val="left"/>
              <w:rPr>
                <w:rFonts w:hint="eastAsia" w:ascii="宋体" w:hAnsi="宋体" w:eastAsia="宋体" w:cs="Arial"/>
                <w:kern w:val="0"/>
                <w:sz w:val="18"/>
                <w:szCs w:val="18"/>
                <w:highlight w:val="none"/>
                <w:lang w:val="en-US" w:eastAsia="zh-CN"/>
              </w:rPr>
            </w:pPr>
            <w:r>
              <w:rPr>
                <w:rFonts w:hint="eastAsia" w:ascii="宋体" w:hAnsi="宋体" w:cs="Arial"/>
                <w:kern w:val="0"/>
                <w:sz w:val="18"/>
                <w:szCs w:val="18"/>
                <w:highlight w:val="none"/>
                <w:lang w:val="en-US" w:eastAsia="zh-CN"/>
              </w:rPr>
              <w:t xml:space="preserve">  其他对个人和家庭的补助</w:t>
            </w:r>
          </w:p>
        </w:tc>
        <w:tc>
          <w:tcPr>
            <w:tcW w:w="884" w:type="dxa"/>
            <w:vAlign w:val="center"/>
          </w:tcPr>
          <w:p>
            <w:pPr>
              <w:widowControl/>
              <w:spacing w:line="240" w:lineRule="auto"/>
              <w:jc w:val="right"/>
              <w:rPr>
                <w:rFonts w:hint="default" w:ascii="宋体" w:hAnsi="宋体" w:cs="Arial" w:eastAsiaTheme="minorEastAsia"/>
                <w:color w:val="000000"/>
                <w:kern w:val="0"/>
                <w:sz w:val="15"/>
                <w:szCs w:val="15"/>
                <w:highlight w:val="none"/>
                <w:lang w:val="en-US" w:eastAsia="zh-CN"/>
              </w:rPr>
            </w:pPr>
            <w:r>
              <w:rPr>
                <w:rFonts w:hint="eastAsia" w:ascii="宋体" w:hAnsi="宋体" w:cs="Arial"/>
                <w:color w:val="000000"/>
                <w:kern w:val="0"/>
                <w:sz w:val="15"/>
                <w:szCs w:val="15"/>
                <w:highlight w:val="none"/>
                <w:lang w:val="en-US" w:eastAsia="zh-CN"/>
              </w:rPr>
              <w:t>23.37</w:t>
            </w: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30240</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税金及附加费用</w:t>
            </w:r>
          </w:p>
        </w:tc>
        <w:tc>
          <w:tcPr>
            <w:tcW w:w="916" w:type="dxa"/>
            <w:vAlign w:val="center"/>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39906</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赠与</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158" w:type="dxa"/>
            <w:vAlign w:val="center"/>
          </w:tcPr>
          <w:p>
            <w:pPr>
              <w:widowControl/>
              <w:spacing w:line="240" w:lineRule="auto"/>
              <w:jc w:val="left"/>
              <w:rPr>
                <w:rFonts w:ascii="宋体" w:hAnsi="宋体" w:cs="Arial"/>
                <w:kern w:val="0"/>
                <w:sz w:val="18"/>
                <w:szCs w:val="18"/>
                <w:highlight w:val="none"/>
              </w:rPr>
            </w:pPr>
          </w:p>
        </w:tc>
        <w:tc>
          <w:tcPr>
            <w:tcW w:w="3417" w:type="dxa"/>
            <w:vAlign w:val="center"/>
          </w:tcPr>
          <w:p>
            <w:pPr>
              <w:widowControl/>
              <w:spacing w:line="240" w:lineRule="auto"/>
              <w:jc w:val="left"/>
              <w:rPr>
                <w:rFonts w:ascii="宋体" w:hAnsi="宋体" w:cs="Arial"/>
                <w:kern w:val="0"/>
                <w:sz w:val="18"/>
                <w:szCs w:val="18"/>
                <w:highlight w:val="none"/>
              </w:rPr>
            </w:pP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30299</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其他商品和服务支出</w:t>
            </w:r>
          </w:p>
        </w:tc>
        <w:tc>
          <w:tcPr>
            <w:tcW w:w="916"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1.67</w:t>
            </w: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39907</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国家赔偿费用支出</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8" w:type="dxa"/>
            <w:vAlign w:val="center"/>
          </w:tcPr>
          <w:p>
            <w:pPr>
              <w:widowControl/>
              <w:spacing w:line="240" w:lineRule="auto"/>
              <w:jc w:val="left"/>
              <w:rPr>
                <w:rFonts w:ascii="宋体" w:hAnsi="宋体" w:cs="Arial"/>
                <w:kern w:val="0"/>
                <w:sz w:val="18"/>
                <w:szCs w:val="18"/>
                <w:highlight w:val="none"/>
              </w:rPr>
            </w:pPr>
          </w:p>
        </w:tc>
        <w:tc>
          <w:tcPr>
            <w:tcW w:w="3417" w:type="dxa"/>
            <w:vAlign w:val="center"/>
          </w:tcPr>
          <w:p>
            <w:pPr>
              <w:widowControl/>
              <w:spacing w:line="240" w:lineRule="auto"/>
              <w:jc w:val="left"/>
              <w:rPr>
                <w:rFonts w:ascii="宋体" w:hAnsi="宋体" w:cs="Arial"/>
                <w:kern w:val="0"/>
                <w:sz w:val="18"/>
                <w:szCs w:val="18"/>
                <w:highlight w:val="none"/>
              </w:rPr>
            </w:pP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307</w:t>
            </w:r>
          </w:p>
        </w:tc>
        <w:tc>
          <w:tcPr>
            <w:tcW w:w="2353" w:type="dxa"/>
            <w:vAlign w:val="center"/>
          </w:tcPr>
          <w:p>
            <w:pPr>
              <w:widowControl/>
              <w:spacing w:line="240" w:lineRule="auto"/>
              <w:jc w:val="center"/>
              <w:rPr>
                <w:rFonts w:ascii="宋体" w:hAnsi="宋体" w:cs="Arial"/>
                <w:b/>
                <w:bCs/>
                <w:kern w:val="0"/>
                <w:sz w:val="18"/>
                <w:szCs w:val="18"/>
                <w:highlight w:val="none"/>
              </w:rPr>
            </w:pPr>
            <w:r>
              <w:rPr>
                <w:rFonts w:hint="eastAsia" w:ascii="宋体" w:hAnsi="宋体" w:cs="Arial"/>
                <w:b/>
                <w:bCs/>
                <w:kern w:val="0"/>
                <w:sz w:val="18"/>
                <w:szCs w:val="18"/>
                <w:highlight w:val="none"/>
              </w:rPr>
              <w:t>债务利息</w:t>
            </w:r>
            <w:r>
              <w:rPr>
                <w:rFonts w:hint="eastAsia" w:ascii="宋体" w:hAnsi="宋体" w:cs="Arial"/>
                <w:b/>
                <w:bCs/>
                <w:kern w:val="0"/>
                <w:sz w:val="18"/>
                <w:szCs w:val="18"/>
                <w:highlight w:val="none"/>
                <w:lang w:eastAsia="zh-CN"/>
              </w:rPr>
              <w:t>及费用</w:t>
            </w:r>
            <w:r>
              <w:rPr>
                <w:rFonts w:hint="eastAsia" w:ascii="宋体" w:hAnsi="宋体" w:cs="Arial"/>
                <w:b/>
                <w:bCs/>
                <w:kern w:val="0"/>
                <w:sz w:val="18"/>
                <w:szCs w:val="18"/>
                <w:highlight w:val="none"/>
              </w:rPr>
              <w:t>支出</w:t>
            </w:r>
          </w:p>
        </w:tc>
        <w:tc>
          <w:tcPr>
            <w:tcW w:w="916" w:type="dxa"/>
            <w:vAlign w:val="center"/>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39908</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w:t>
            </w:r>
            <w:r>
              <w:rPr>
                <w:rFonts w:hint="eastAsia" w:ascii="宋体" w:hAnsi="宋体" w:cs="Arial"/>
                <w:kern w:val="0"/>
                <w:sz w:val="13"/>
                <w:szCs w:val="13"/>
                <w:highlight w:val="none"/>
              </w:rPr>
              <w:t>对民间非营利组织和群众性自治组织补贴</w:t>
            </w:r>
          </w:p>
        </w:tc>
        <w:tc>
          <w:tcPr>
            <w:tcW w:w="932" w:type="dxa"/>
            <w:vAlign w:val="center"/>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8" w:type="dxa"/>
            <w:vAlign w:val="center"/>
          </w:tcPr>
          <w:p>
            <w:pPr>
              <w:widowControl/>
              <w:spacing w:line="240" w:lineRule="auto"/>
              <w:jc w:val="left"/>
              <w:rPr>
                <w:rFonts w:ascii="宋体" w:hAnsi="宋体" w:cs="Arial"/>
                <w:kern w:val="0"/>
                <w:sz w:val="18"/>
                <w:szCs w:val="18"/>
                <w:highlight w:val="none"/>
              </w:rPr>
            </w:pPr>
          </w:p>
        </w:tc>
        <w:tc>
          <w:tcPr>
            <w:tcW w:w="3417" w:type="dxa"/>
            <w:vAlign w:val="center"/>
          </w:tcPr>
          <w:p>
            <w:pPr>
              <w:widowControl/>
              <w:spacing w:line="240" w:lineRule="auto"/>
              <w:jc w:val="left"/>
              <w:rPr>
                <w:rFonts w:ascii="宋体" w:hAnsi="宋体" w:cs="Arial"/>
                <w:kern w:val="0"/>
                <w:sz w:val="18"/>
                <w:szCs w:val="18"/>
                <w:highlight w:val="none"/>
              </w:rPr>
            </w:pP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30701</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国内债务付息</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39999</w:t>
            </w:r>
          </w:p>
        </w:tc>
        <w:tc>
          <w:tcPr>
            <w:tcW w:w="2886"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其他支出</w:t>
            </w: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8" w:type="dxa"/>
            <w:vAlign w:val="center"/>
          </w:tcPr>
          <w:p>
            <w:pPr>
              <w:widowControl/>
              <w:spacing w:line="240" w:lineRule="auto"/>
              <w:jc w:val="left"/>
              <w:rPr>
                <w:rFonts w:ascii="宋体" w:hAnsi="宋体" w:cs="Arial"/>
                <w:kern w:val="0"/>
                <w:sz w:val="18"/>
                <w:szCs w:val="18"/>
                <w:highlight w:val="none"/>
              </w:rPr>
            </w:pPr>
          </w:p>
        </w:tc>
        <w:tc>
          <w:tcPr>
            <w:tcW w:w="3417" w:type="dxa"/>
            <w:vAlign w:val="center"/>
          </w:tcPr>
          <w:p>
            <w:pPr>
              <w:widowControl/>
              <w:spacing w:line="240" w:lineRule="auto"/>
              <w:jc w:val="left"/>
              <w:rPr>
                <w:rFonts w:ascii="宋体" w:hAnsi="宋体" w:cs="Arial"/>
                <w:kern w:val="0"/>
                <w:sz w:val="18"/>
                <w:szCs w:val="18"/>
                <w:highlight w:val="none"/>
              </w:rPr>
            </w:pPr>
          </w:p>
        </w:tc>
        <w:tc>
          <w:tcPr>
            <w:tcW w:w="884" w:type="dxa"/>
            <w:vAlign w:val="center"/>
          </w:tcPr>
          <w:p>
            <w:pPr>
              <w:widowControl/>
              <w:spacing w:line="240" w:lineRule="auto"/>
              <w:jc w:val="right"/>
              <w:rPr>
                <w:rFonts w:ascii="宋体" w:hAnsi="宋体" w:cs="Arial"/>
                <w:color w:val="000000"/>
                <w:kern w:val="0"/>
                <w:sz w:val="15"/>
                <w:szCs w:val="15"/>
                <w:highlight w:val="none"/>
              </w:rPr>
            </w:pPr>
          </w:p>
        </w:tc>
        <w:tc>
          <w:tcPr>
            <w:tcW w:w="1137"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30702</w:t>
            </w:r>
          </w:p>
        </w:tc>
        <w:tc>
          <w:tcPr>
            <w:tcW w:w="2353" w:type="dxa"/>
            <w:vAlign w:val="center"/>
          </w:tcPr>
          <w:p>
            <w:pPr>
              <w:widowControl/>
              <w:spacing w:line="240" w:lineRule="auto"/>
              <w:jc w:val="left"/>
              <w:rPr>
                <w:rFonts w:ascii="宋体" w:hAnsi="宋体" w:cs="Arial"/>
                <w:kern w:val="0"/>
                <w:sz w:val="18"/>
                <w:szCs w:val="18"/>
                <w:highlight w:val="none"/>
              </w:rPr>
            </w:pPr>
            <w:r>
              <w:rPr>
                <w:rFonts w:hint="eastAsia" w:ascii="宋体" w:hAnsi="宋体" w:cs="Arial"/>
                <w:kern w:val="0"/>
                <w:sz w:val="18"/>
                <w:szCs w:val="18"/>
                <w:highlight w:val="none"/>
              </w:rPr>
              <w:t xml:space="preserve">  国外债务付息</w:t>
            </w:r>
          </w:p>
        </w:tc>
        <w:tc>
          <w:tcPr>
            <w:tcW w:w="916" w:type="dxa"/>
            <w:vAlign w:val="bottom"/>
          </w:tcPr>
          <w:p>
            <w:pPr>
              <w:widowControl/>
              <w:spacing w:line="240" w:lineRule="auto"/>
              <w:jc w:val="right"/>
              <w:rPr>
                <w:rFonts w:ascii="Arial" w:hAnsi="Arial" w:cs="Arial"/>
                <w:color w:val="000000"/>
                <w:kern w:val="0"/>
                <w:sz w:val="15"/>
                <w:szCs w:val="15"/>
                <w:highlight w:val="none"/>
              </w:rPr>
            </w:pPr>
          </w:p>
        </w:tc>
        <w:tc>
          <w:tcPr>
            <w:tcW w:w="1231" w:type="dxa"/>
            <w:vAlign w:val="bottom"/>
          </w:tcPr>
          <w:p>
            <w:pPr>
              <w:widowControl/>
              <w:spacing w:line="240" w:lineRule="auto"/>
              <w:jc w:val="left"/>
              <w:rPr>
                <w:rFonts w:ascii="Arial" w:hAnsi="Arial" w:cs="Arial"/>
                <w:color w:val="000000"/>
                <w:kern w:val="0"/>
                <w:sz w:val="18"/>
                <w:szCs w:val="18"/>
                <w:highlight w:val="none"/>
              </w:rPr>
            </w:pPr>
          </w:p>
        </w:tc>
        <w:tc>
          <w:tcPr>
            <w:tcW w:w="2886" w:type="dxa"/>
            <w:vAlign w:val="bottom"/>
          </w:tcPr>
          <w:p>
            <w:pPr>
              <w:widowControl/>
              <w:spacing w:line="240" w:lineRule="auto"/>
              <w:jc w:val="left"/>
              <w:rPr>
                <w:rFonts w:ascii="Arial" w:hAnsi="Arial" w:cs="Arial"/>
                <w:color w:val="000000"/>
                <w:kern w:val="0"/>
                <w:sz w:val="18"/>
                <w:szCs w:val="18"/>
                <w:highlight w:val="none"/>
              </w:rPr>
            </w:pPr>
          </w:p>
        </w:tc>
        <w:tc>
          <w:tcPr>
            <w:tcW w:w="932" w:type="dxa"/>
            <w:vAlign w:val="bottom"/>
          </w:tcPr>
          <w:p>
            <w:pPr>
              <w:widowControl/>
              <w:spacing w:line="240" w:lineRule="auto"/>
              <w:jc w:val="right"/>
              <w:rPr>
                <w:rFonts w:ascii="Arial" w:hAnsi="Arial" w:cs="Arial"/>
                <w:color w:val="000000"/>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575" w:type="dxa"/>
            <w:gridSpan w:val="2"/>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人员经费合计</w:t>
            </w:r>
          </w:p>
        </w:tc>
        <w:tc>
          <w:tcPr>
            <w:tcW w:w="884" w:type="dxa"/>
            <w:vAlign w:val="center"/>
          </w:tcPr>
          <w:p>
            <w:pPr>
              <w:widowControl/>
              <w:spacing w:line="240" w:lineRule="auto"/>
              <w:jc w:val="right"/>
              <w:rPr>
                <w:rFonts w:hint="default" w:ascii="宋体" w:hAnsi="宋体" w:cs="Arial" w:eastAsiaTheme="minorEastAsia"/>
                <w:b/>
                <w:bCs/>
                <w:color w:val="000000"/>
                <w:kern w:val="0"/>
                <w:sz w:val="15"/>
                <w:szCs w:val="15"/>
                <w:highlight w:val="none"/>
                <w:lang w:val="en-US" w:eastAsia="zh-CN"/>
              </w:rPr>
            </w:pPr>
            <w:r>
              <w:rPr>
                <w:rFonts w:hint="eastAsia" w:ascii="宋体" w:hAnsi="宋体" w:cs="Arial"/>
                <w:b/>
                <w:bCs/>
                <w:color w:val="000000"/>
                <w:kern w:val="0"/>
                <w:sz w:val="15"/>
                <w:szCs w:val="15"/>
                <w:highlight w:val="none"/>
                <w:lang w:val="en-US" w:eastAsia="zh-CN"/>
              </w:rPr>
              <w:t>114.96</w:t>
            </w:r>
          </w:p>
        </w:tc>
        <w:tc>
          <w:tcPr>
            <w:tcW w:w="8523" w:type="dxa"/>
            <w:gridSpan w:val="5"/>
            <w:vAlign w:val="center"/>
          </w:tcPr>
          <w:p>
            <w:pPr>
              <w:widowControl/>
              <w:spacing w:line="240" w:lineRule="auto"/>
              <w:jc w:val="center"/>
              <w:rPr>
                <w:rFonts w:ascii="宋体" w:hAnsi="宋体" w:cs="Arial"/>
                <w:b/>
                <w:bCs/>
                <w:color w:val="000000"/>
                <w:kern w:val="0"/>
                <w:sz w:val="18"/>
                <w:szCs w:val="18"/>
                <w:highlight w:val="none"/>
              </w:rPr>
            </w:pPr>
            <w:r>
              <w:rPr>
                <w:rFonts w:hint="eastAsia" w:ascii="宋体" w:hAnsi="宋体" w:cs="Arial"/>
                <w:b/>
                <w:bCs/>
                <w:color w:val="000000"/>
                <w:kern w:val="0"/>
                <w:sz w:val="18"/>
                <w:szCs w:val="18"/>
                <w:highlight w:val="none"/>
              </w:rPr>
              <w:t>公用经费合计</w:t>
            </w:r>
          </w:p>
        </w:tc>
        <w:tc>
          <w:tcPr>
            <w:tcW w:w="932" w:type="dxa"/>
            <w:vAlign w:val="bottom"/>
          </w:tcPr>
          <w:p>
            <w:pPr>
              <w:widowControl/>
              <w:spacing w:line="240" w:lineRule="auto"/>
              <w:jc w:val="right"/>
              <w:rPr>
                <w:rFonts w:hint="default" w:ascii="Arial" w:hAnsi="Arial" w:cs="Arial" w:eastAsiaTheme="minorEastAsia"/>
                <w:color w:val="000000"/>
                <w:kern w:val="0"/>
                <w:sz w:val="15"/>
                <w:szCs w:val="15"/>
                <w:highlight w:val="none"/>
                <w:lang w:val="en-US" w:eastAsia="zh-CN"/>
              </w:rPr>
            </w:pPr>
            <w:r>
              <w:rPr>
                <w:rFonts w:hint="eastAsia" w:ascii="Arial" w:hAnsi="Arial" w:cs="Arial"/>
                <w:color w:val="000000"/>
                <w:kern w:val="0"/>
                <w:sz w:val="15"/>
                <w:szCs w:val="15"/>
                <w:highlight w:val="none"/>
                <w:lang w:val="en-US" w:eastAsia="zh-CN"/>
              </w:rPr>
              <w:t>3.43</w:t>
            </w:r>
          </w:p>
        </w:tc>
      </w:tr>
    </w:tbl>
    <w:p>
      <w:pPr>
        <w:pStyle w:val="6"/>
        <w:numPr>
          <w:ilvl w:val="0"/>
          <w:numId w:val="0"/>
        </w:numPr>
        <w:ind w:leftChars="0"/>
        <w:jc w:val="left"/>
        <w:rPr>
          <w:rFonts w:hint="eastAsia" w:ascii="Times New Roman" w:hAnsi="Times New Roman" w:eastAsia="宋体" w:cs="Times New Roman"/>
          <w:highlight w:val="none"/>
        </w:rPr>
        <w:sectPr>
          <w:pgSz w:w="16838" w:h="11906" w:orient="landscape"/>
          <w:pgMar w:top="567" w:right="1588" w:bottom="567" w:left="1588" w:header="851" w:footer="992" w:gutter="0"/>
          <w:cols w:space="720" w:num="1"/>
          <w:docGrid w:linePitch="312" w:charSpace="0"/>
        </w:sectPr>
      </w:pPr>
      <w:r>
        <w:rPr>
          <w:rFonts w:hint="eastAsia" w:ascii="Times New Roman" w:hAnsi="Times New Roman" w:eastAsia="宋体" w:cs="Times New Roman"/>
          <w:highlight w:val="none"/>
        </w:rPr>
        <w:t>注：本表反映部门本年度一般公共预算财政拨款基本支出明细情况。</w:t>
      </w:r>
    </w:p>
    <w:p>
      <w:pPr>
        <w:pStyle w:val="6"/>
        <w:numPr>
          <w:ilvl w:val="0"/>
          <w:numId w:val="0"/>
        </w:numPr>
        <w:ind w:leftChars="0"/>
        <w:jc w:val="left"/>
        <w:outlineLvl w:val="1"/>
        <w:rPr>
          <w:rFonts w:hint="eastAsia" w:ascii="仿宋" w:hAnsi="仿宋" w:eastAsia="仿宋"/>
          <w:sz w:val="32"/>
          <w:szCs w:val="32"/>
          <w:highlight w:val="none"/>
          <w:lang w:eastAsia="zh-CN"/>
        </w:rPr>
      </w:pPr>
      <w:bookmarkStart w:id="12" w:name="_Toc14634"/>
      <w:r>
        <w:rPr>
          <w:rFonts w:hint="eastAsia" w:ascii="仿宋" w:hAnsi="仿宋" w:eastAsia="仿宋"/>
          <w:sz w:val="32"/>
          <w:szCs w:val="32"/>
          <w:highlight w:val="none"/>
          <w:lang w:eastAsia="zh-CN"/>
        </w:rPr>
        <w:t>七、一般公共预算财政拨款“三公”经费支出决算表</w:t>
      </w:r>
      <w:bookmarkEnd w:id="12"/>
    </w:p>
    <w:p>
      <w:pPr>
        <w:widowControl/>
        <w:spacing w:line="240" w:lineRule="auto"/>
        <w:jc w:val="center"/>
        <w:rPr>
          <w:rFonts w:hint="eastAsia" w:ascii="黑体" w:hAnsi="Arial" w:eastAsia="黑体" w:cs="Arial"/>
          <w:color w:val="000000"/>
          <w:kern w:val="0"/>
          <w:sz w:val="36"/>
          <w:szCs w:val="36"/>
          <w:highlight w:val="none"/>
        </w:rPr>
      </w:pPr>
    </w:p>
    <w:p>
      <w:pPr>
        <w:widowControl/>
        <w:spacing w:line="240" w:lineRule="auto"/>
        <w:jc w:val="center"/>
        <w:outlineLvl w:val="2"/>
        <w:rPr>
          <w:rFonts w:hint="eastAsia"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一般公共预算财政拨款“三公”经费支出决算表</w:t>
      </w:r>
    </w:p>
    <w:p>
      <w:pPr>
        <w:widowControl/>
        <w:spacing w:line="240" w:lineRule="auto"/>
        <w:jc w:val="center"/>
        <w:rPr>
          <w:rFonts w:hint="eastAsia" w:ascii="黑体" w:hAnsi="Arial" w:eastAsia="黑体" w:cs="Arial"/>
          <w:color w:val="000000"/>
          <w:kern w:val="0"/>
          <w:sz w:val="36"/>
          <w:szCs w:val="36"/>
          <w:highlight w:val="none"/>
        </w:rPr>
      </w:pPr>
    </w:p>
    <w:tbl>
      <w:tblPr>
        <w:tblStyle w:val="4"/>
        <w:tblpPr w:leftFromText="180" w:rightFromText="180" w:vertAnchor="text" w:horzAnchor="page" w:tblpX="1724" w:tblpY="286"/>
        <w:tblOverlap w:val="never"/>
        <w:tblW w:w="12961" w:type="dxa"/>
        <w:tblInd w:w="0" w:type="dxa"/>
        <w:tblLayout w:type="fixed"/>
        <w:tblCellMar>
          <w:top w:w="0" w:type="dxa"/>
          <w:left w:w="108" w:type="dxa"/>
          <w:bottom w:w="0" w:type="dxa"/>
          <w:right w:w="108" w:type="dxa"/>
        </w:tblCellMar>
      </w:tblPr>
      <w:tblGrid>
        <w:gridCol w:w="6109"/>
        <w:gridCol w:w="852"/>
        <w:gridCol w:w="6000"/>
      </w:tblGrid>
      <w:tr>
        <w:tblPrEx>
          <w:tblCellMar>
            <w:top w:w="0" w:type="dxa"/>
            <w:left w:w="108" w:type="dxa"/>
            <w:bottom w:w="0" w:type="dxa"/>
            <w:right w:w="108" w:type="dxa"/>
          </w:tblCellMar>
        </w:tblPrEx>
        <w:trPr>
          <w:trHeight w:val="606" w:hRule="atLeast"/>
        </w:trPr>
        <w:tc>
          <w:tcPr>
            <w:tcW w:w="6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行</w:t>
            </w:r>
            <w:r>
              <w:rPr>
                <w:rFonts w:hint="eastAsia" w:ascii="宋体" w:hAnsi="宋体" w:eastAsia="宋体" w:cs="宋体"/>
                <w:b/>
                <w:bCs/>
                <w:color w:val="000000"/>
                <w:kern w:val="0"/>
                <w:sz w:val="24"/>
                <w:szCs w:val="24"/>
                <w:highlight w:val="none"/>
                <w:lang w:eastAsia="zh-CN"/>
              </w:rPr>
              <w:t>次</w:t>
            </w:r>
          </w:p>
        </w:tc>
        <w:tc>
          <w:tcPr>
            <w:tcW w:w="60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决算数</w:t>
            </w:r>
          </w:p>
        </w:tc>
      </w:tr>
      <w:tr>
        <w:tblPrEx>
          <w:tblCellMar>
            <w:top w:w="0" w:type="dxa"/>
            <w:left w:w="108" w:type="dxa"/>
            <w:bottom w:w="0" w:type="dxa"/>
            <w:right w:w="108" w:type="dxa"/>
          </w:tblCellMar>
        </w:tblPrEx>
        <w:trPr>
          <w:trHeight w:val="615" w:hRule="atLeast"/>
        </w:trPr>
        <w:tc>
          <w:tcPr>
            <w:tcW w:w="610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8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60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0.00</w:t>
            </w: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615" w:hRule="atLeast"/>
        </w:trPr>
        <w:tc>
          <w:tcPr>
            <w:tcW w:w="6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因公出国（境）费</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6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0.00</w:t>
            </w:r>
          </w:p>
        </w:tc>
      </w:tr>
      <w:tr>
        <w:tblPrEx>
          <w:tblCellMar>
            <w:top w:w="0" w:type="dxa"/>
            <w:left w:w="108" w:type="dxa"/>
            <w:bottom w:w="0" w:type="dxa"/>
            <w:right w:w="108" w:type="dxa"/>
          </w:tblCellMar>
        </w:tblPrEx>
        <w:trPr>
          <w:trHeight w:val="593" w:hRule="atLeast"/>
        </w:trPr>
        <w:tc>
          <w:tcPr>
            <w:tcW w:w="6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公务用车购置及运行维护费</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60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0.00</w:t>
            </w:r>
          </w:p>
        </w:tc>
      </w:tr>
      <w:tr>
        <w:tblPrEx>
          <w:tblCellMar>
            <w:top w:w="0" w:type="dxa"/>
            <w:left w:w="108" w:type="dxa"/>
            <w:bottom w:w="0" w:type="dxa"/>
            <w:right w:w="108" w:type="dxa"/>
          </w:tblCellMar>
        </w:tblPrEx>
        <w:trPr>
          <w:trHeight w:val="615" w:hRule="atLeast"/>
        </w:trPr>
        <w:tc>
          <w:tcPr>
            <w:tcW w:w="6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其中：（1）公务用车购置费</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6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0.00</w:t>
            </w:r>
          </w:p>
        </w:tc>
      </w:tr>
      <w:tr>
        <w:tblPrEx>
          <w:tblCellMar>
            <w:top w:w="0" w:type="dxa"/>
            <w:left w:w="108" w:type="dxa"/>
            <w:bottom w:w="0" w:type="dxa"/>
            <w:right w:w="108" w:type="dxa"/>
          </w:tblCellMar>
        </w:tblPrEx>
        <w:trPr>
          <w:trHeight w:val="615" w:hRule="atLeast"/>
        </w:trPr>
        <w:tc>
          <w:tcPr>
            <w:tcW w:w="61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（2）公务用车运行维护费</w:t>
            </w:r>
          </w:p>
        </w:tc>
        <w:tc>
          <w:tcPr>
            <w:tcW w:w="8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60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0.00</w:t>
            </w:r>
          </w:p>
        </w:tc>
      </w:tr>
      <w:tr>
        <w:tblPrEx>
          <w:tblCellMar>
            <w:top w:w="0" w:type="dxa"/>
            <w:left w:w="108" w:type="dxa"/>
            <w:bottom w:w="0" w:type="dxa"/>
            <w:right w:w="108" w:type="dxa"/>
          </w:tblCellMar>
        </w:tblPrEx>
        <w:trPr>
          <w:trHeight w:val="615" w:hRule="atLeast"/>
        </w:trPr>
        <w:tc>
          <w:tcPr>
            <w:tcW w:w="610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公务接待费</w:t>
            </w:r>
          </w:p>
        </w:tc>
        <w:tc>
          <w:tcPr>
            <w:tcW w:w="8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60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0.00</w:t>
            </w:r>
          </w:p>
        </w:tc>
      </w:tr>
    </w:tbl>
    <w:p>
      <w:pPr>
        <w:spacing w:line="240" w:lineRule="auto"/>
        <w:jc w:val="both"/>
        <w:rPr>
          <w:rFonts w:hint="eastAsia" w:ascii="黑体" w:hAnsi="Arial" w:eastAsia="黑体" w:cs="Arial"/>
          <w:color w:val="000000"/>
          <w:kern w:val="0"/>
          <w:sz w:val="36"/>
          <w:szCs w:val="36"/>
          <w:highlight w:val="none"/>
        </w:rPr>
      </w:pPr>
      <w:r>
        <w:rPr>
          <w:rFonts w:hint="eastAsia" w:ascii="宋体" w:hAnsi="宋体" w:eastAsia="宋体" w:cs="Arial"/>
          <w:color w:val="000000"/>
          <w:kern w:val="0"/>
          <w:sz w:val="22"/>
          <w:highlight w:val="none"/>
          <w:lang w:val="en-US" w:eastAsia="zh-CN"/>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val="en-US" w:eastAsia="zh-CN"/>
        </w:rPr>
        <w:t xml:space="preserve">公开07表 </w:t>
      </w:r>
      <w:r>
        <w:rPr>
          <w:rFonts w:hint="eastAsia" w:ascii="宋体" w:hAnsi="宋体" w:eastAsia="宋体" w:cs="Arial"/>
          <w:color w:val="000000"/>
          <w:kern w:val="0"/>
          <w:sz w:val="22"/>
          <w:highlight w:val="none"/>
        </w:rPr>
        <w:t>单位：万元</w:t>
      </w: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4"/>
          <w:szCs w:val="24"/>
          <w:highlight w:val="none"/>
        </w:rPr>
      </w:pPr>
    </w:p>
    <w:p>
      <w:pPr>
        <w:pStyle w:val="7"/>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本表反映部门本年度“三公”经费支出决算情况，包括当年一般公共预算财政拨款和以前年度结转资金安排的实际支出。</w:t>
      </w:r>
    </w:p>
    <w:p>
      <w:pPr>
        <w:widowControl/>
        <w:spacing w:line="240" w:lineRule="auto"/>
        <w:ind w:firstLine="420" w:firstLineChars="200"/>
        <w:rPr>
          <w:rFonts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本部门202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年没有使用一般公共预算财政拨款“三公”经费支出。</w:t>
      </w:r>
    </w:p>
    <w:p>
      <w:pPr>
        <w:pStyle w:val="7"/>
        <w:jc w:val="both"/>
        <w:rPr>
          <w:rFonts w:hint="default" w:ascii="宋体" w:hAnsi="宋体" w:eastAsia="宋体" w:cs="宋体"/>
          <w:kern w:val="0"/>
          <w:sz w:val="21"/>
          <w:szCs w:val="21"/>
          <w:highlight w:val="none"/>
          <w:lang w:val="en-US" w:eastAsia="zh-CN"/>
        </w:rPr>
        <w:sectPr>
          <w:pgSz w:w="16838" w:h="11906" w:orient="landscape"/>
          <w:pgMar w:top="1587" w:right="1587" w:bottom="1587" w:left="1587" w:header="851" w:footer="992" w:gutter="0"/>
          <w:cols w:space="720" w:num="1"/>
          <w:rtlGutter w:val="0"/>
          <w:docGrid w:linePitch="312" w:charSpace="0"/>
        </w:sectPr>
      </w:pPr>
    </w:p>
    <w:p>
      <w:pPr>
        <w:pStyle w:val="7"/>
        <w:outlineLvl w:val="1"/>
        <w:rPr>
          <w:rFonts w:hint="eastAsia" w:ascii="仿宋" w:hAnsi="仿宋" w:eastAsia="仿宋"/>
          <w:sz w:val="32"/>
          <w:szCs w:val="32"/>
          <w:highlight w:val="none"/>
        </w:rPr>
      </w:pPr>
      <w:bookmarkStart w:id="13" w:name="_Toc12678"/>
      <w:r>
        <w:rPr>
          <w:rFonts w:hint="eastAsia" w:ascii="仿宋" w:hAnsi="仿宋" w:eastAsia="仿宋"/>
          <w:sz w:val="32"/>
          <w:szCs w:val="32"/>
          <w:highlight w:val="none"/>
          <w:lang w:eastAsia="zh-CN"/>
        </w:rPr>
        <w:t>八</w:t>
      </w:r>
      <w:r>
        <w:rPr>
          <w:rFonts w:hint="eastAsia" w:ascii="仿宋" w:hAnsi="仿宋" w:eastAsia="仿宋"/>
          <w:sz w:val="32"/>
          <w:szCs w:val="32"/>
          <w:highlight w:val="none"/>
        </w:rPr>
        <w:t>、政府性基金预算财政拨款收入支出决算表</w:t>
      </w:r>
      <w:bookmarkEnd w:id="13"/>
    </w:p>
    <w:p>
      <w:pPr>
        <w:pStyle w:val="6"/>
        <w:spacing w:line="240" w:lineRule="auto"/>
        <w:ind w:firstLine="0" w:firstLineChars="0"/>
        <w:rPr>
          <w:rFonts w:ascii="仿宋" w:hAnsi="仿宋" w:eastAsia="仿宋"/>
          <w:sz w:val="32"/>
          <w:szCs w:val="32"/>
          <w:highlight w:val="none"/>
        </w:rPr>
      </w:pPr>
    </w:p>
    <w:p>
      <w:pPr>
        <w:spacing w:line="240" w:lineRule="auto"/>
        <w:jc w:val="center"/>
        <w:outlineLvl w:val="2"/>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政府性基金预算财政拨款收入支出决算表</w:t>
      </w:r>
    </w:p>
    <w:p>
      <w:pPr>
        <w:spacing w:line="240" w:lineRule="auto"/>
        <w:jc w:val="center"/>
        <w:rPr>
          <w:rFonts w:hint="eastAsia" w:ascii="方正小标宋简体" w:hAnsi="仿宋" w:eastAsia="方正小标宋简体"/>
          <w:sz w:val="44"/>
          <w:szCs w:val="44"/>
          <w:highlight w:val="none"/>
        </w:rPr>
      </w:pPr>
    </w:p>
    <w:p>
      <w:pPr>
        <w:spacing w:line="240" w:lineRule="auto"/>
        <w:jc w:val="center"/>
        <w:rPr>
          <w:rFonts w:hint="eastAsia" w:ascii="宋体" w:hAnsi="宋体" w:eastAsia="宋体" w:cs="Arial"/>
          <w:color w:val="000000"/>
          <w:kern w:val="0"/>
          <w:sz w:val="22"/>
          <w:highlight w:val="none"/>
          <w:lang w:val="en-US" w:eastAsia="zh-CN"/>
        </w:rPr>
      </w:pPr>
      <w:r>
        <w:rPr>
          <w:rFonts w:hint="eastAsia" w:ascii="宋体" w:hAnsi="宋体" w:eastAsia="宋体" w:cs="Arial"/>
          <w:color w:val="000000"/>
          <w:kern w:val="0"/>
          <w:sz w:val="22"/>
          <w:highlight w:val="none"/>
          <w:lang w:val="en-US" w:eastAsia="zh-CN"/>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val="en-US" w:eastAsia="zh-CN"/>
        </w:rPr>
        <w:t>公开08表 单位：万元</w:t>
      </w:r>
    </w:p>
    <w:tbl>
      <w:tblPr>
        <w:tblStyle w:val="4"/>
        <w:tblW w:w="13697" w:type="dxa"/>
        <w:tblInd w:w="91" w:type="dxa"/>
        <w:tblLayout w:type="fixed"/>
        <w:tblCellMar>
          <w:top w:w="0" w:type="dxa"/>
          <w:left w:w="108" w:type="dxa"/>
          <w:bottom w:w="0" w:type="dxa"/>
          <w:right w:w="108" w:type="dxa"/>
        </w:tblCellMar>
      </w:tblPr>
      <w:tblGrid>
        <w:gridCol w:w="451"/>
        <w:gridCol w:w="451"/>
        <w:gridCol w:w="452"/>
        <w:gridCol w:w="3965"/>
        <w:gridCol w:w="1104"/>
        <w:gridCol w:w="1092"/>
        <w:gridCol w:w="1224"/>
        <w:gridCol w:w="1680"/>
        <w:gridCol w:w="1788"/>
        <w:gridCol w:w="1490"/>
      </w:tblGrid>
      <w:tr>
        <w:tblPrEx>
          <w:tblCellMar>
            <w:top w:w="0" w:type="dxa"/>
            <w:left w:w="108" w:type="dxa"/>
            <w:bottom w:w="0" w:type="dxa"/>
            <w:right w:w="108" w:type="dxa"/>
          </w:tblCellMar>
        </w:tblPrEx>
        <w:trPr>
          <w:trHeight w:val="440" w:hRule="atLeast"/>
        </w:trPr>
        <w:tc>
          <w:tcPr>
            <w:tcW w:w="531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项  目</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年初结转和结余</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本年收入</w:t>
            </w:r>
          </w:p>
        </w:tc>
        <w:tc>
          <w:tcPr>
            <w:tcW w:w="4692"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 年 支 出</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年末结转和结余</w:t>
            </w:r>
          </w:p>
        </w:tc>
      </w:tr>
      <w:tr>
        <w:tblPrEx>
          <w:tblCellMar>
            <w:top w:w="0" w:type="dxa"/>
            <w:left w:w="108" w:type="dxa"/>
            <w:bottom w:w="0" w:type="dxa"/>
            <w:right w:w="108" w:type="dxa"/>
          </w:tblCellMar>
        </w:tblPrEx>
        <w:trPr>
          <w:trHeight w:val="446" w:hRule="atLeast"/>
        </w:trPr>
        <w:tc>
          <w:tcPr>
            <w:tcW w:w="135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支出功能分类科目编码</w:t>
            </w:r>
          </w:p>
        </w:tc>
        <w:tc>
          <w:tcPr>
            <w:tcW w:w="3965"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科目名称</w:t>
            </w: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224"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小计</w:t>
            </w:r>
          </w:p>
        </w:tc>
        <w:tc>
          <w:tcPr>
            <w:tcW w:w="1680"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基本支出</w:t>
            </w:r>
          </w:p>
        </w:tc>
        <w:tc>
          <w:tcPr>
            <w:tcW w:w="1788"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项目支出</w:t>
            </w: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r>
      <w:tr>
        <w:tblPrEx>
          <w:tblCellMar>
            <w:top w:w="0" w:type="dxa"/>
            <w:left w:w="108" w:type="dxa"/>
            <w:bottom w:w="0" w:type="dxa"/>
            <w:right w:w="108" w:type="dxa"/>
          </w:tblCellMar>
        </w:tblPrEx>
        <w:trPr>
          <w:trHeight w:val="446" w:hRule="atLeast"/>
        </w:trPr>
        <w:tc>
          <w:tcPr>
            <w:tcW w:w="135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3965"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22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6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78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r>
      <w:tr>
        <w:tblPrEx>
          <w:tblCellMar>
            <w:top w:w="0" w:type="dxa"/>
            <w:left w:w="108" w:type="dxa"/>
            <w:bottom w:w="0" w:type="dxa"/>
            <w:right w:w="108" w:type="dxa"/>
          </w:tblCellMar>
        </w:tblPrEx>
        <w:trPr>
          <w:trHeight w:val="283" w:hRule="exact"/>
        </w:trPr>
        <w:tc>
          <w:tcPr>
            <w:tcW w:w="451"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类</w:t>
            </w:r>
          </w:p>
        </w:tc>
        <w:tc>
          <w:tcPr>
            <w:tcW w:w="451"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款</w:t>
            </w:r>
          </w:p>
        </w:tc>
        <w:tc>
          <w:tcPr>
            <w:tcW w:w="452"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项</w:t>
            </w:r>
          </w:p>
        </w:tc>
        <w:tc>
          <w:tcPr>
            <w:tcW w:w="3965"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栏次</w:t>
            </w:r>
          </w:p>
        </w:tc>
        <w:tc>
          <w:tcPr>
            <w:tcW w:w="1104"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1</w:t>
            </w:r>
          </w:p>
        </w:tc>
        <w:tc>
          <w:tcPr>
            <w:tcW w:w="1092"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4</w:t>
            </w:r>
          </w:p>
        </w:tc>
        <w:tc>
          <w:tcPr>
            <w:tcW w:w="1224"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7</w:t>
            </w:r>
          </w:p>
        </w:tc>
        <w:tc>
          <w:tcPr>
            <w:tcW w:w="1680"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8</w:t>
            </w:r>
          </w:p>
        </w:tc>
        <w:tc>
          <w:tcPr>
            <w:tcW w:w="1788"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11</w:t>
            </w:r>
          </w:p>
        </w:tc>
        <w:tc>
          <w:tcPr>
            <w:tcW w:w="1490" w:type="dxa"/>
            <w:tcBorders>
              <w:top w:val="nil"/>
              <w:left w:val="nil"/>
              <w:bottom w:val="single" w:color="auto"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12</w:t>
            </w:r>
          </w:p>
        </w:tc>
      </w:tr>
      <w:tr>
        <w:tblPrEx>
          <w:tblCellMar>
            <w:top w:w="0" w:type="dxa"/>
            <w:left w:w="108" w:type="dxa"/>
            <w:bottom w:w="0" w:type="dxa"/>
            <w:right w:w="108" w:type="dxa"/>
          </w:tblCellMar>
        </w:tblPrEx>
        <w:trPr>
          <w:trHeight w:val="283" w:hRule="exact"/>
        </w:trPr>
        <w:tc>
          <w:tcPr>
            <w:tcW w:w="451"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451"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452"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cs="Arial"/>
                <w:b/>
                <w:bCs/>
                <w:color w:val="000000"/>
                <w:kern w:val="0"/>
                <w:sz w:val="22"/>
                <w:highlight w:val="none"/>
              </w:rPr>
            </w:pPr>
          </w:p>
        </w:tc>
        <w:tc>
          <w:tcPr>
            <w:tcW w:w="3965" w:type="dxa"/>
            <w:tcBorders>
              <w:top w:val="nil"/>
              <w:left w:val="nil"/>
              <w:bottom w:val="single" w:color="000000" w:sz="4" w:space="0"/>
              <w:right w:val="single" w:color="auto" w:sz="4" w:space="0"/>
            </w:tcBorders>
            <w:vAlign w:val="center"/>
          </w:tcPr>
          <w:p>
            <w:pPr>
              <w:widowControl/>
              <w:spacing w:line="240" w:lineRule="auto"/>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合计</w:t>
            </w:r>
          </w:p>
        </w:tc>
        <w:tc>
          <w:tcPr>
            <w:tcW w:w="1104" w:type="dxa"/>
            <w:tcBorders>
              <w:top w:val="nil"/>
              <w:left w:val="nil"/>
              <w:bottom w:val="single" w:color="000000" w:sz="4" w:space="0"/>
              <w:right w:val="single" w:color="auto" w:sz="4" w:space="0"/>
            </w:tcBorders>
            <w:vAlign w:val="center"/>
          </w:tcPr>
          <w:p>
            <w:pPr>
              <w:widowControl/>
              <w:spacing w:line="240" w:lineRule="auto"/>
              <w:jc w:val="center"/>
              <w:rPr>
                <w:rFonts w:ascii="宋体" w:hAnsi="宋体" w:cs="Arial"/>
                <w:b w:val="0"/>
                <w:bCs w:val="0"/>
                <w:color w:val="000000"/>
                <w:kern w:val="0"/>
                <w:sz w:val="15"/>
                <w:szCs w:val="15"/>
                <w:highlight w:val="none"/>
              </w:rPr>
            </w:pPr>
            <w:r>
              <w:rPr>
                <w:rFonts w:hint="eastAsia" w:ascii="宋体" w:hAnsi="宋体" w:eastAsia="宋体" w:cs="宋体"/>
                <w:color w:val="000000"/>
                <w:kern w:val="0"/>
                <w:sz w:val="22"/>
                <w:highlight w:val="none"/>
                <w:lang w:val="en-US" w:eastAsia="zh-CN"/>
              </w:rPr>
              <w:t>0.00</w:t>
            </w:r>
          </w:p>
        </w:tc>
        <w:tc>
          <w:tcPr>
            <w:tcW w:w="1092" w:type="dxa"/>
            <w:tcBorders>
              <w:top w:val="nil"/>
              <w:left w:val="nil"/>
              <w:bottom w:val="single" w:color="000000" w:sz="4" w:space="0"/>
              <w:right w:val="single" w:color="auto" w:sz="4" w:space="0"/>
            </w:tcBorders>
            <w:vAlign w:val="center"/>
          </w:tcPr>
          <w:p>
            <w:pPr>
              <w:widowControl/>
              <w:spacing w:line="240" w:lineRule="auto"/>
              <w:jc w:val="center"/>
              <w:rPr>
                <w:rFonts w:ascii="宋体" w:hAnsi="宋体" w:cs="Arial"/>
                <w:b w:val="0"/>
                <w:bCs w:val="0"/>
                <w:color w:val="000000"/>
                <w:kern w:val="0"/>
                <w:sz w:val="15"/>
                <w:szCs w:val="15"/>
                <w:highlight w:val="none"/>
              </w:rPr>
            </w:pPr>
            <w:r>
              <w:rPr>
                <w:rFonts w:hint="eastAsia" w:ascii="宋体" w:hAnsi="宋体" w:eastAsia="宋体" w:cs="宋体"/>
                <w:color w:val="000000"/>
                <w:kern w:val="0"/>
                <w:sz w:val="22"/>
                <w:highlight w:val="none"/>
                <w:lang w:val="en-US" w:eastAsia="zh-CN"/>
              </w:rPr>
              <w:t>0.00</w:t>
            </w:r>
          </w:p>
        </w:tc>
        <w:tc>
          <w:tcPr>
            <w:tcW w:w="1224" w:type="dxa"/>
            <w:tcBorders>
              <w:top w:val="nil"/>
              <w:left w:val="nil"/>
              <w:bottom w:val="single" w:color="000000" w:sz="4" w:space="0"/>
              <w:right w:val="single" w:color="auto" w:sz="4" w:space="0"/>
            </w:tcBorders>
            <w:vAlign w:val="center"/>
          </w:tcPr>
          <w:p>
            <w:pPr>
              <w:widowControl/>
              <w:spacing w:line="240" w:lineRule="auto"/>
              <w:jc w:val="center"/>
              <w:rPr>
                <w:rFonts w:ascii="宋体" w:hAnsi="宋体" w:cs="Arial"/>
                <w:b w:val="0"/>
                <w:bCs w:val="0"/>
                <w:color w:val="000000"/>
                <w:kern w:val="0"/>
                <w:sz w:val="15"/>
                <w:szCs w:val="15"/>
                <w:highlight w:val="none"/>
              </w:rPr>
            </w:pPr>
            <w:r>
              <w:rPr>
                <w:rFonts w:hint="eastAsia" w:ascii="宋体" w:hAnsi="宋体" w:eastAsia="宋体" w:cs="宋体"/>
                <w:color w:val="000000"/>
                <w:kern w:val="0"/>
                <w:sz w:val="22"/>
                <w:highlight w:val="none"/>
                <w:lang w:val="en-US" w:eastAsia="zh-CN"/>
              </w:rPr>
              <w:t>0.00</w:t>
            </w:r>
          </w:p>
        </w:tc>
        <w:tc>
          <w:tcPr>
            <w:tcW w:w="1680" w:type="dxa"/>
            <w:tcBorders>
              <w:top w:val="nil"/>
              <w:left w:val="nil"/>
              <w:bottom w:val="single" w:color="000000" w:sz="4" w:space="0"/>
              <w:right w:val="single" w:color="auto" w:sz="4" w:space="0"/>
            </w:tcBorders>
            <w:vAlign w:val="center"/>
          </w:tcPr>
          <w:p>
            <w:pPr>
              <w:widowControl/>
              <w:spacing w:line="240" w:lineRule="auto"/>
              <w:jc w:val="center"/>
              <w:rPr>
                <w:rFonts w:ascii="宋体" w:hAnsi="宋体" w:cs="Arial"/>
                <w:b w:val="0"/>
                <w:bCs w:val="0"/>
                <w:color w:val="000000"/>
                <w:kern w:val="0"/>
                <w:sz w:val="15"/>
                <w:szCs w:val="15"/>
                <w:highlight w:val="none"/>
              </w:rPr>
            </w:pPr>
            <w:r>
              <w:rPr>
                <w:rFonts w:hint="eastAsia" w:ascii="宋体" w:hAnsi="宋体" w:eastAsia="宋体" w:cs="宋体"/>
                <w:color w:val="000000"/>
                <w:kern w:val="0"/>
                <w:sz w:val="22"/>
                <w:highlight w:val="none"/>
                <w:lang w:val="en-US" w:eastAsia="zh-CN"/>
              </w:rPr>
              <w:t>0.00</w:t>
            </w:r>
          </w:p>
        </w:tc>
        <w:tc>
          <w:tcPr>
            <w:tcW w:w="1788" w:type="dxa"/>
            <w:tcBorders>
              <w:top w:val="nil"/>
              <w:left w:val="nil"/>
              <w:bottom w:val="single" w:color="000000" w:sz="4" w:space="0"/>
              <w:right w:val="single" w:color="auto" w:sz="4" w:space="0"/>
            </w:tcBorders>
            <w:vAlign w:val="center"/>
          </w:tcPr>
          <w:p>
            <w:pPr>
              <w:widowControl/>
              <w:spacing w:line="240" w:lineRule="auto"/>
              <w:jc w:val="center"/>
              <w:rPr>
                <w:rFonts w:ascii="宋体" w:hAnsi="宋体" w:cs="Arial"/>
                <w:b w:val="0"/>
                <w:bCs w:val="0"/>
                <w:color w:val="000000"/>
                <w:kern w:val="0"/>
                <w:sz w:val="15"/>
                <w:szCs w:val="15"/>
                <w:highlight w:val="none"/>
              </w:rPr>
            </w:pPr>
            <w:r>
              <w:rPr>
                <w:rFonts w:hint="eastAsia" w:ascii="宋体" w:hAnsi="宋体" w:eastAsia="宋体" w:cs="宋体"/>
                <w:color w:val="000000"/>
                <w:kern w:val="0"/>
                <w:sz w:val="22"/>
                <w:highlight w:val="none"/>
                <w:lang w:val="en-US" w:eastAsia="zh-CN"/>
              </w:rPr>
              <w:t>0.00</w:t>
            </w:r>
          </w:p>
        </w:tc>
        <w:tc>
          <w:tcPr>
            <w:tcW w:w="1490" w:type="dxa"/>
            <w:tcBorders>
              <w:top w:val="nil"/>
              <w:left w:val="nil"/>
              <w:bottom w:val="single" w:color="000000" w:sz="4" w:space="0"/>
              <w:right w:val="single" w:color="auto" w:sz="4" w:space="0"/>
            </w:tcBorders>
            <w:vAlign w:val="center"/>
          </w:tcPr>
          <w:p>
            <w:pPr>
              <w:widowControl/>
              <w:spacing w:line="240" w:lineRule="auto"/>
              <w:jc w:val="center"/>
              <w:rPr>
                <w:rFonts w:ascii="宋体" w:hAnsi="宋体" w:cs="Arial"/>
                <w:b w:val="0"/>
                <w:bCs w:val="0"/>
                <w:color w:val="000000"/>
                <w:kern w:val="0"/>
                <w:sz w:val="15"/>
                <w:szCs w:val="15"/>
                <w:highlight w:val="none"/>
              </w:rPr>
            </w:pPr>
            <w:r>
              <w:rPr>
                <w:rFonts w:hint="eastAsia" w:ascii="宋体" w:hAnsi="宋体" w:eastAsia="宋体" w:cs="宋体"/>
                <w:color w:val="000000"/>
                <w:kern w:val="0"/>
                <w:sz w:val="22"/>
                <w:highlight w:val="none"/>
                <w:lang w:val="en-US" w:eastAsia="zh-CN"/>
              </w:rPr>
              <w:t>0.00</w:t>
            </w: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r>
        <w:tblPrEx>
          <w:tblCellMar>
            <w:top w:w="0" w:type="dxa"/>
            <w:left w:w="108" w:type="dxa"/>
            <w:bottom w:w="0" w:type="dxa"/>
            <w:right w:w="108" w:type="dxa"/>
          </w:tblCellMar>
        </w:tblPrEx>
        <w:trPr>
          <w:trHeight w:val="283" w:hRule="exact"/>
        </w:trPr>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Arial"/>
                <w:color w:val="000000"/>
                <w:kern w:val="0"/>
                <w:sz w:val="22"/>
                <w:highlight w:val="none"/>
              </w:rPr>
            </w:pPr>
          </w:p>
        </w:tc>
        <w:tc>
          <w:tcPr>
            <w:tcW w:w="39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Arial"/>
                <w:color w:val="000000"/>
                <w:kern w:val="0"/>
                <w:sz w:val="15"/>
                <w:szCs w:val="15"/>
                <w:highlight w:val="none"/>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Arial"/>
                <w:color w:val="000000"/>
                <w:kern w:val="0"/>
                <w:sz w:val="15"/>
                <w:szCs w:val="15"/>
                <w:highlight w:val="none"/>
              </w:rPr>
            </w:pPr>
          </w:p>
        </w:tc>
      </w:tr>
    </w:tbl>
    <w:p>
      <w:pPr>
        <w:pStyle w:val="7"/>
        <w:rPr>
          <w:rFonts w:ascii="Times New Roman" w:hAnsi="Times New Roman" w:eastAsia="宋体" w:cs="Times New Roman"/>
          <w:highlight w:val="none"/>
        </w:rPr>
      </w:pPr>
      <w:r>
        <w:rPr>
          <w:rFonts w:hint="eastAsia" w:ascii="Times New Roman" w:hAnsi="Times New Roman" w:eastAsia="宋体" w:cs="Times New Roman"/>
          <w:highlight w:val="none"/>
        </w:rPr>
        <w:t>注：1.</w:t>
      </w:r>
      <w:r>
        <w:rPr>
          <w:rFonts w:hint="eastAsia"/>
          <w:highlight w:val="none"/>
        </w:rPr>
        <w:t xml:space="preserve"> </w:t>
      </w:r>
      <w:r>
        <w:rPr>
          <w:rFonts w:hint="eastAsia" w:ascii="Times New Roman" w:hAnsi="Times New Roman" w:eastAsia="宋体" w:cs="Times New Roman"/>
          <w:highlight w:val="none"/>
        </w:rPr>
        <w:t>本表反映部门本年度政府性基金预算财政拨款收入、支出及结转和结余情况。</w:t>
      </w:r>
    </w:p>
    <w:p>
      <w:pPr>
        <w:ind w:firstLine="480" w:firstLineChars="200"/>
        <w:jc w:val="left"/>
        <w:outlineLvl w:val="2"/>
        <w:rPr>
          <w:rFonts w:ascii="Times New Roman" w:hAnsi="Times New Roman" w:cs="Times New Roman"/>
          <w:color w:val="000000"/>
          <w:kern w:val="0"/>
          <w:sz w:val="24"/>
          <w:szCs w:val="24"/>
          <w:highlight w:val="none"/>
        </w:rPr>
      </w:pPr>
      <w:r>
        <w:rPr>
          <w:rFonts w:hint="eastAsia" w:ascii="Times New Roman" w:hAnsi="Times New Roman" w:cs="Times New Roman"/>
          <w:color w:val="000000"/>
          <w:kern w:val="0"/>
          <w:sz w:val="24"/>
          <w:szCs w:val="24"/>
          <w:highlight w:val="none"/>
        </w:rPr>
        <w:t>2.本部门</w:t>
      </w:r>
      <w:r>
        <w:rPr>
          <w:rFonts w:ascii="Times New Roman" w:hAnsi="Times New Roman" w:cs="Times New Roman"/>
          <w:color w:val="000000"/>
          <w:kern w:val="0"/>
          <w:sz w:val="24"/>
          <w:szCs w:val="24"/>
          <w:highlight w:val="none"/>
          <w:lang w:val="en-US"/>
        </w:rPr>
        <w:t>202</w:t>
      </w:r>
      <w:r>
        <w:rPr>
          <w:rFonts w:hint="eastAsia" w:ascii="Times New Roman" w:hAnsi="Times New Roman" w:cs="Times New Roman"/>
          <w:color w:val="000000"/>
          <w:kern w:val="0"/>
          <w:sz w:val="24"/>
          <w:szCs w:val="24"/>
          <w:highlight w:val="none"/>
          <w:lang w:val="en-US" w:eastAsia="zh-CN"/>
        </w:rPr>
        <w:t>3</w:t>
      </w:r>
      <w:r>
        <w:rPr>
          <w:rFonts w:hint="eastAsia" w:ascii="Times New Roman" w:hAnsi="Times New Roman" w:cs="Times New Roman"/>
          <w:color w:val="000000"/>
          <w:kern w:val="0"/>
          <w:sz w:val="24"/>
          <w:szCs w:val="24"/>
          <w:highlight w:val="none"/>
        </w:rPr>
        <w:t>年度没有使用政府性基金预算拨款安排的收支。</w:t>
      </w:r>
    </w:p>
    <w:p>
      <w:pPr>
        <w:pStyle w:val="7"/>
        <w:rPr>
          <w:rFonts w:ascii="仿宋" w:hAnsi="仿宋" w:eastAsia="仿宋"/>
          <w:sz w:val="32"/>
          <w:szCs w:val="32"/>
          <w:highlight w:val="none"/>
        </w:rPr>
        <w:sectPr>
          <w:pgSz w:w="16838" w:h="11906" w:orient="landscape"/>
          <w:pgMar w:top="1587" w:right="1587" w:bottom="1587" w:left="1587" w:header="851" w:footer="992" w:gutter="0"/>
          <w:cols w:space="720" w:num="1"/>
          <w:rtlGutter w:val="0"/>
          <w:docGrid w:linePitch="312" w:charSpace="0"/>
        </w:sectPr>
      </w:pPr>
    </w:p>
    <w:p>
      <w:pPr>
        <w:pStyle w:val="7"/>
        <w:numPr>
          <w:ilvl w:val="0"/>
          <w:numId w:val="3"/>
        </w:numPr>
        <w:outlineLvl w:val="1"/>
        <w:rPr>
          <w:rFonts w:hint="eastAsia" w:ascii="黑体" w:hAnsi="仿宋" w:eastAsia="黑体"/>
          <w:sz w:val="32"/>
          <w:szCs w:val="32"/>
          <w:highlight w:val="none"/>
        </w:rPr>
      </w:pPr>
      <w:bookmarkStart w:id="14" w:name="_Toc18181"/>
      <w:r>
        <w:rPr>
          <w:rFonts w:hint="eastAsia" w:ascii="黑体" w:hAnsi="仿宋" w:eastAsia="黑体"/>
          <w:sz w:val="32"/>
          <w:szCs w:val="32"/>
          <w:highlight w:val="none"/>
        </w:rPr>
        <w:t>国有资本经营预算财政拨款支出决算表</w:t>
      </w:r>
      <w:bookmarkEnd w:id="14"/>
    </w:p>
    <w:p>
      <w:pPr>
        <w:pStyle w:val="7"/>
        <w:numPr>
          <w:ilvl w:val="0"/>
          <w:numId w:val="0"/>
        </w:numPr>
        <w:rPr>
          <w:rFonts w:hint="eastAsia" w:ascii="华文中宋" w:hAnsi="华文中宋" w:eastAsia="华文中宋" w:cs="宋体"/>
          <w:kern w:val="0"/>
          <w:sz w:val="32"/>
          <w:szCs w:val="32"/>
          <w:highlight w:val="none"/>
        </w:rPr>
      </w:pPr>
    </w:p>
    <w:p>
      <w:pPr>
        <w:spacing w:line="240" w:lineRule="auto"/>
        <w:jc w:val="center"/>
        <w:outlineLvl w:val="0"/>
        <w:rPr>
          <w:rFonts w:hint="eastAsia" w:ascii="方正小标宋简体" w:hAnsi="仿宋" w:eastAsia="方正小标宋简体"/>
          <w:sz w:val="44"/>
          <w:szCs w:val="44"/>
          <w:highlight w:val="none"/>
        </w:rPr>
      </w:pPr>
      <w:bookmarkStart w:id="15" w:name="_Toc9857"/>
      <w:r>
        <w:rPr>
          <w:rFonts w:hint="eastAsia" w:ascii="方正小标宋简体" w:hAnsi="仿宋" w:eastAsia="方正小标宋简体"/>
          <w:sz w:val="44"/>
          <w:szCs w:val="44"/>
          <w:highlight w:val="none"/>
        </w:rPr>
        <w:t>国有资本经营预算财政拨款支出决算表</w:t>
      </w:r>
      <w:bookmarkEnd w:id="15"/>
    </w:p>
    <w:p>
      <w:pPr>
        <w:spacing w:line="240" w:lineRule="auto"/>
        <w:jc w:val="center"/>
        <w:rPr>
          <w:rFonts w:hint="eastAsia" w:ascii="宋体" w:hAnsi="宋体" w:eastAsia="宋体" w:cs="Arial"/>
          <w:color w:val="000000"/>
          <w:kern w:val="0"/>
          <w:sz w:val="22"/>
          <w:highlight w:val="none"/>
          <w:lang w:val="en-US" w:eastAsia="zh-CN"/>
        </w:rPr>
      </w:pPr>
    </w:p>
    <w:p>
      <w:pPr>
        <w:spacing w:line="240" w:lineRule="auto"/>
        <w:jc w:val="center"/>
        <w:rPr>
          <w:rFonts w:hint="eastAsia" w:ascii="宋体" w:hAnsi="宋体" w:eastAsia="宋体" w:cs="Arial"/>
          <w:color w:val="000000"/>
          <w:kern w:val="0"/>
          <w:sz w:val="22"/>
          <w:highlight w:val="none"/>
          <w:lang w:val="en-US" w:eastAsia="zh-CN"/>
        </w:rPr>
      </w:pPr>
      <w:r>
        <w:rPr>
          <w:rFonts w:hint="eastAsia" w:ascii="宋体" w:hAnsi="宋体" w:eastAsia="宋体" w:cs="Arial"/>
          <w:color w:val="000000"/>
          <w:kern w:val="0"/>
          <w:sz w:val="22"/>
          <w:highlight w:val="none"/>
          <w:lang w:val="en-US" w:eastAsia="zh-CN"/>
        </w:rPr>
        <w:t>部门：</w:t>
      </w:r>
      <w:r>
        <w:rPr>
          <w:rFonts w:ascii="宋体" w:hAnsi="宋体" w:eastAsia="宋体" w:cs="Arial"/>
          <w:color w:val="000000"/>
          <w:kern w:val="0"/>
          <w:sz w:val="22"/>
          <w:szCs w:val="22"/>
        </w:rPr>
        <w:t>泉州市丰泽区职业技术教育中心</w:t>
      </w:r>
      <w:r>
        <w:rPr>
          <w:rFonts w:hint="eastAsia" w:ascii="宋体" w:hAnsi="宋体" w:eastAsia="宋体" w:cs="Arial"/>
          <w:color w:val="000000"/>
          <w:kern w:val="0"/>
          <w:sz w:val="22"/>
          <w:szCs w:val="22"/>
          <w:lang w:val="en-US" w:eastAsia="zh-CN"/>
        </w:rPr>
        <w:t xml:space="preserve">                                                      </w:t>
      </w:r>
      <w:r>
        <w:rPr>
          <w:rFonts w:hint="eastAsia" w:ascii="宋体" w:hAnsi="宋体" w:eastAsia="宋体" w:cs="Arial"/>
          <w:color w:val="000000"/>
          <w:kern w:val="0"/>
          <w:sz w:val="22"/>
          <w:highlight w:val="none"/>
          <w:lang w:val="en-US" w:eastAsia="zh-CN"/>
        </w:rPr>
        <w:t>公开09表 单位：万元</w:t>
      </w:r>
    </w:p>
    <w:tbl>
      <w:tblPr>
        <w:tblStyle w:val="4"/>
        <w:tblW w:w="12759" w:type="dxa"/>
        <w:jc w:val="center"/>
        <w:tblLayout w:type="fixed"/>
        <w:tblCellMar>
          <w:top w:w="0" w:type="dxa"/>
          <w:left w:w="108" w:type="dxa"/>
          <w:bottom w:w="0" w:type="dxa"/>
          <w:right w:w="108" w:type="dxa"/>
        </w:tblCellMar>
      </w:tblPr>
      <w:tblGrid>
        <w:gridCol w:w="1767"/>
        <w:gridCol w:w="6192"/>
        <w:gridCol w:w="1540"/>
        <w:gridCol w:w="1600"/>
        <w:gridCol w:w="1660"/>
      </w:tblGrid>
      <w:tr>
        <w:tblPrEx>
          <w:tblCellMar>
            <w:top w:w="0" w:type="dxa"/>
            <w:left w:w="108" w:type="dxa"/>
            <w:bottom w:w="0" w:type="dxa"/>
            <w:right w:w="108" w:type="dxa"/>
          </w:tblCellMar>
        </w:tblPrEx>
        <w:trPr>
          <w:trHeight w:val="402" w:hRule="atLeast"/>
          <w:jc w:val="center"/>
        </w:trPr>
        <w:tc>
          <w:tcPr>
            <w:tcW w:w="7959" w:type="dxa"/>
            <w:gridSpan w:val="2"/>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4800" w:type="dxa"/>
            <w:gridSpan w:val="3"/>
            <w:tcBorders>
              <w:top w:val="single" w:color="auto" w:sz="8" w:space="0"/>
              <w:left w:val="nil"/>
              <w:bottom w:val="single" w:color="auto" w:sz="4" w:space="0"/>
              <w:right w:val="single" w:color="000000"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tblPrEx>
          <w:tblCellMar>
            <w:top w:w="0" w:type="dxa"/>
            <w:left w:w="108" w:type="dxa"/>
            <w:bottom w:w="0" w:type="dxa"/>
            <w:right w:w="108" w:type="dxa"/>
          </w:tblCellMar>
        </w:tblPrEx>
        <w:trPr>
          <w:trHeight w:val="402" w:hRule="atLeast"/>
          <w:jc w:val="center"/>
        </w:trPr>
        <w:tc>
          <w:tcPr>
            <w:tcW w:w="1767" w:type="dxa"/>
            <w:vMerge w:val="restart"/>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6192"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54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60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基本支出</w:t>
            </w:r>
          </w:p>
        </w:tc>
        <w:tc>
          <w:tcPr>
            <w:tcW w:w="166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tblPrEx>
          <w:tblCellMar>
            <w:top w:w="0" w:type="dxa"/>
            <w:left w:w="108" w:type="dxa"/>
            <w:bottom w:w="0" w:type="dxa"/>
            <w:right w:w="108" w:type="dxa"/>
          </w:tblCellMar>
        </w:tblPrEx>
        <w:trPr>
          <w:trHeight w:val="402" w:hRule="atLeast"/>
          <w:jc w:val="center"/>
        </w:trPr>
        <w:tc>
          <w:tcPr>
            <w:tcW w:w="1767"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619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1767"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619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79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1</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2</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3</w:t>
            </w:r>
          </w:p>
        </w:tc>
      </w:tr>
      <w:tr>
        <w:tblPrEx>
          <w:tblCellMar>
            <w:top w:w="0" w:type="dxa"/>
            <w:left w:w="108" w:type="dxa"/>
            <w:bottom w:w="0" w:type="dxa"/>
            <w:right w:w="108" w:type="dxa"/>
          </w:tblCellMar>
        </w:tblPrEx>
        <w:trPr>
          <w:trHeight w:val="402" w:hRule="atLeast"/>
          <w:jc w:val="center"/>
        </w:trPr>
        <w:tc>
          <w:tcPr>
            <w:tcW w:w="79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color w:val="000000"/>
                <w:kern w:val="0"/>
                <w:sz w:val="22"/>
                <w:highlight w:val="none"/>
                <w:lang w:val="en-US" w:eastAsia="zh-CN"/>
              </w:rPr>
              <w:t>0.00</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color w:val="000000"/>
                <w:kern w:val="0"/>
                <w:sz w:val="22"/>
                <w:highlight w:val="none"/>
                <w:lang w:val="en-US" w:eastAsia="zh-CN"/>
              </w:rPr>
              <w:t>0.00</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color w:val="000000"/>
                <w:kern w:val="0"/>
                <w:sz w:val="22"/>
                <w:highlight w:val="none"/>
                <w:lang w:val="en-US" w:eastAsia="zh-CN"/>
              </w:rPr>
              <w:t>0.00</w:t>
            </w:r>
          </w:p>
        </w:tc>
      </w:tr>
      <w:tr>
        <w:tblPrEx>
          <w:tblCellMar>
            <w:top w:w="0" w:type="dxa"/>
            <w:left w:w="108" w:type="dxa"/>
            <w:bottom w:w="0" w:type="dxa"/>
            <w:right w:w="108" w:type="dxa"/>
          </w:tblCellMar>
        </w:tblPrEx>
        <w:trPr>
          <w:trHeight w:val="402" w:hRule="atLeast"/>
          <w:jc w:val="center"/>
        </w:trPr>
        <w:tc>
          <w:tcPr>
            <w:tcW w:w="176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p>
        </w:tc>
        <w:tc>
          <w:tcPr>
            <w:tcW w:w="6192"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highlight w:val="none"/>
              </w:rPr>
            </w:pPr>
          </w:p>
        </w:tc>
        <w:tc>
          <w:tcPr>
            <w:tcW w:w="154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176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p>
        </w:tc>
        <w:tc>
          <w:tcPr>
            <w:tcW w:w="619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176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p>
        </w:tc>
        <w:tc>
          <w:tcPr>
            <w:tcW w:w="619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highlight w:val="none"/>
              </w:rPr>
            </w:pPr>
          </w:p>
        </w:tc>
        <w:tc>
          <w:tcPr>
            <w:tcW w:w="154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176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p>
        </w:tc>
        <w:tc>
          <w:tcPr>
            <w:tcW w:w="619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1767"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p>
        </w:tc>
        <w:tc>
          <w:tcPr>
            <w:tcW w:w="6192"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tcBorders>
              <w:top w:val="nil"/>
              <w:left w:val="nil"/>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1767" w:type="dxa"/>
            <w:tcBorders>
              <w:top w:val="single" w:color="auto" w:sz="4" w:space="0"/>
              <w:left w:val="single" w:color="auto" w:sz="8" w:space="0"/>
              <w:bottom w:val="single" w:color="auto" w:sz="8" w:space="0"/>
              <w:right w:val="single" w:color="auto" w:sz="4" w:space="0"/>
            </w:tcBorders>
            <w:vAlign w:val="center"/>
          </w:tcPr>
          <w:p>
            <w:pPr>
              <w:widowControl/>
              <w:spacing w:line="240" w:lineRule="auto"/>
              <w:jc w:val="center"/>
              <w:rPr>
                <w:rFonts w:ascii="宋体" w:hAnsi="宋体" w:eastAsia="宋体" w:cs="宋体"/>
                <w:kern w:val="0"/>
                <w:sz w:val="24"/>
                <w:szCs w:val="24"/>
                <w:highlight w:val="none"/>
              </w:rPr>
            </w:pPr>
          </w:p>
        </w:tc>
        <w:tc>
          <w:tcPr>
            <w:tcW w:w="6192"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tcBorders>
              <w:top w:val="nil"/>
              <w:left w:val="nil"/>
              <w:bottom w:val="single" w:color="auto" w:sz="8"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720" w:hRule="atLeast"/>
          <w:jc w:val="center"/>
        </w:trPr>
        <w:tc>
          <w:tcPr>
            <w:tcW w:w="12759" w:type="dxa"/>
            <w:gridSpan w:val="5"/>
            <w:tcBorders>
              <w:top w:val="single" w:color="auto" w:sz="8" w:space="0"/>
              <w:left w:val="nil"/>
              <w:bottom w:val="nil"/>
              <w:right w:val="nil"/>
            </w:tcBorders>
            <w:vAlign w:val="center"/>
          </w:tcPr>
          <w:p>
            <w:pPr>
              <w:widowControl/>
              <w:spacing w:line="24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注：1.本表反映部门本年度国有资本经营预算财政拨款支出情况。</w:t>
            </w:r>
          </w:p>
          <w:p>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w:t>
            </w:r>
            <w:r>
              <w:rPr>
                <w:rFonts w:hint="eastAsia" w:ascii="Times New Roman" w:hAnsi="Times New Roman" w:cs="Times New Roman"/>
                <w:color w:val="000000"/>
                <w:kern w:val="0"/>
                <w:sz w:val="24"/>
                <w:szCs w:val="24"/>
                <w:highlight w:val="none"/>
              </w:rPr>
              <w:t>本部门</w:t>
            </w:r>
            <w:r>
              <w:rPr>
                <w:rFonts w:ascii="Times New Roman" w:hAnsi="Times New Roman" w:cs="Times New Roman"/>
                <w:color w:val="000000"/>
                <w:kern w:val="0"/>
                <w:sz w:val="24"/>
                <w:szCs w:val="24"/>
                <w:highlight w:val="none"/>
                <w:lang w:val="en-US"/>
              </w:rPr>
              <w:t>202</w:t>
            </w:r>
            <w:r>
              <w:rPr>
                <w:rFonts w:hint="eastAsia" w:ascii="Times New Roman" w:hAnsi="Times New Roman" w:cs="Times New Roman"/>
                <w:color w:val="000000"/>
                <w:kern w:val="0"/>
                <w:sz w:val="24"/>
                <w:szCs w:val="24"/>
                <w:highlight w:val="none"/>
                <w:lang w:val="en-US" w:eastAsia="zh-CN"/>
              </w:rPr>
              <w:t>3</w:t>
            </w:r>
            <w:r>
              <w:rPr>
                <w:rFonts w:hint="eastAsia" w:ascii="Times New Roman" w:hAnsi="Times New Roman" w:cs="Times New Roman"/>
                <w:color w:val="000000"/>
                <w:kern w:val="0"/>
                <w:sz w:val="24"/>
                <w:szCs w:val="24"/>
                <w:highlight w:val="none"/>
              </w:rPr>
              <w:t>年度没有使用国有资本经营预算财政拨款安排的</w:t>
            </w:r>
            <w:r>
              <w:rPr>
                <w:rFonts w:hint="eastAsia" w:ascii="Times New Roman" w:hAnsi="Times New Roman" w:cs="Times New Roman"/>
                <w:color w:val="000000"/>
                <w:kern w:val="0"/>
                <w:sz w:val="24"/>
                <w:szCs w:val="24"/>
                <w:highlight w:val="none"/>
                <w:lang w:eastAsia="zh-CN"/>
              </w:rPr>
              <w:t>支出</w:t>
            </w:r>
            <w:r>
              <w:rPr>
                <w:rFonts w:hint="eastAsia" w:ascii="Times New Roman" w:hAnsi="Times New Roman" w:cs="Times New Roman"/>
                <w:color w:val="000000"/>
                <w:kern w:val="0"/>
                <w:sz w:val="24"/>
                <w:szCs w:val="24"/>
                <w:highlight w:val="none"/>
              </w:rPr>
              <w:t>。</w:t>
            </w:r>
          </w:p>
        </w:tc>
      </w:tr>
    </w:tbl>
    <w:p>
      <w:pPr>
        <w:pStyle w:val="6"/>
        <w:spacing w:line="240" w:lineRule="auto"/>
        <w:ind w:firstLine="0" w:firstLineChars="0"/>
        <w:rPr>
          <w:rFonts w:hint="eastAsia" w:ascii="仿宋" w:hAnsi="仿宋" w:eastAsia="仿宋"/>
          <w:sz w:val="32"/>
          <w:szCs w:val="32"/>
          <w:highlight w:val="none"/>
        </w:rPr>
      </w:pPr>
    </w:p>
    <w:p>
      <w:pPr>
        <w:spacing w:line="240" w:lineRule="auto"/>
        <w:rPr>
          <w:rFonts w:ascii="黑体" w:hAnsi="黑体" w:eastAsia="黑体"/>
          <w:sz w:val="36"/>
          <w:szCs w:val="36"/>
          <w:highlight w:val="none"/>
        </w:rPr>
        <w:sectPr>
          <w:pgSz w:w="16838" w:h="11906" w:orient="landscape"/>
          <w:pgMar w:top="1587" w:right="1587" w:bottom="1587" w:left="1587" w:header="851" w:footer="992" w:gutter="0"/>
          <w:cols w:space="720" w:num="1"/>
          <w:rtlGutter w:val="0"/>
          <w:docGrid w:linePitch="312" w:charSpace="0"/>
        </w:sectPr>
      </w:pPr>
    </w:p>
    <w:p>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0"/>
        <w:rPr>
          <w:rFonts w:ascii="黑体" w:hAnsi="黑体" w:eastAsia="黑体"/>
          <w:sz w:val="36"/>
          <w:szCs w:val="36"/>
          <w:highlight w:val="none"/>
        </w:rPr>
      </w:pPr>
      <w:bookmarkStart w:id="16" w:name="_Toc5401"/>
      <w:r>
        <w:rPr>
          <w:rFonts w:hint="eastAsia" w:ascii="黑体" w:hAnsi="黑体" w:eastAsia="黑体"/>
          <w:sz w:val="36"/>
          <w:szCs w:val="36"/>
          <w:highlight w:val="none"/>
        </w:rPr>
        <w:t>第三部分</w:t>
      </w:r>
      <w:r>
        <w:rPr>
          <w:rFonts w:ascii="黑体" w:hAnsi="黑体" w:eastAsia="黑体"/>
          <w:sz w:val="36"/>
          <w:szCs w:val="36"/>
          <w:highlight w:val="none"/>
        </w:rPr>
        <w:t xml:space="preserve"> </w:t>
      </w:r>
      <w:r>
        <w:rPr>
          <w:rFonts w:ascii="黑体" w:hAnsi="黑体" w:eastAsia="黑体"/>
          <w:sz w:val="36"/>
          <w:szCs w:val="36"/>
          <w:highlight w:val="none"/>
          <w:lang w:val="en-US"/>
        </w:rPr>
        <w:t>202</w:t>
      </w:r>
      <w:r>
        <w:rPr>
          <w:rFonts w:hint="eastAsia" w:ascii="黑体" w:hAnsi="黑体" w:eastAsia="黑体"/>
          <w:sz w:val="36"/>
          <w:szCs w:val="36"/>
          <w:highlight w:val="none"/>
          <w:lang w:val="en-US" w:eastAsia="zh-CN"/>
        </w:rPr>
        <w:t>3</w:t>
      </w:r>
      <w:r>
        <w:rPr>
          <w:rFonts w:hint="eastAsia" w:ascii="黑体" w:hAnsi="黑体" w:eastAsia="黑体"/>
          <w:sz w:val="36"/>
          <w:szCs w:val="36"/>
          <w:highlight w:val="none"/>
        </w:rPr>
        <w:t>年度部门决算情况说明</w:t>
      </w:r>
      <w:bookmarkEnd w:id="16"/>
    </w:p>
    <w:p>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ascii="仿宋" w:hAnsi="仿宋" w:eastAsia="仿宋"/>
          <w:sz w:val="32"/>
          <w:szCs w:val="32"/>
          <w:highlight w:val="none"/>
        </w:rPr>
      </w:pPr>
    </w:p>
    <w:p>
      <w:pPr>
        <w:keepNext w:val="0"/>
        <w:keepLines w:val="0"/>
        <w:pageBreakBefore w:val="0"/>
        <w:widowControl w:val="0"/>
        <w:kinsoku/>
        <w:wordWrap/>
        <w:overflowPunct/>
        <w:topLinePunct w:val="0"/>
        <w:bidi w:val="0"/>
        <w:spacing w:line="560" w:lineRule="exact"/>
        <w:ind w:left="0" w:leftChars="0" w:right="0" w:rightChars="0" w:firstLine="640" w:firstLineChars="200"/>
        <w:textAlignment w:val="auto"/>
        <w:outlineLvl w:val="1"/>
        <w:rPr>
          <w:rFonts w:ascii="黑体" w:hAnsi="黑体" w:eastAsia="黑体"/>
          <w:sz w:val="32"/>
          <w:szCs w:val="32"/>
          <w:highlight w:val="none"/>
        </w:rPr>
      </w:pPr>
      <w:bookmarkStart w:id="17" w:name="_Toc7001"/>
      <w:r>
        <w:rPr>
          <w:rFonts w:hint="eastAsia" w:ascii="黑体" w:hAnsi="黑体" w:eastAsia="黑体"/>
          <w:sz w:val="32"/>
          <w:szCs w:val="32"/>
          <w:highlight w:val="none"/>
        </w:rPr>
        <w:t>一、收入支出决算总体情况说明</w:t>
      </w:r>
      <w:bookmarkEnd w:id="17"/>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3" w:firstLineChars="200"/>
        <w:textAlignment w:val="auto"/>
        <w:outlineLvl w:val="9"/>
        <w:rPr>
          <w:rFonts w:hint="default" w:ascii="仿宋" w:hAnsi="仿宋" w:eastAsia="仿宋" w:cs="仿宋_GB2312"/>
          <w:b/>
          <w:bCs/>
          <w:sz w:val="32"/>
          <w:szCs w:val="32"/>
          <w:highlight w:val="none"/>
          <w:lang w:val="en-US" w:eastAsia="zh-CN"/>
        </w:rPr>
      </w:pPr>
      <w:r>
        <w:rPr>
          <w:rFonts w:hint="eastAsia" w:ascii="仿宋" w:hAnsi="仿宋" w:eastAsia="仿宋" w:cs="仿宋_GB2312"/>
          <w:b/>
          <w:bCs/>
          <w:sz w:val="32"/>
          <w:szCs w:val="32"/>
          <w:highlight w:val="none"/>
          <w:lang w:val="en-US" w:eastAsia="zh-CN"/>
        </w:rPr>
        <w:t>㈠</w:t>
      </w:r>
      <w:r>
        <w:rPr>
          <w:rFonts w:hint="default" w:ascii="仿宋" w:hAnsi="仿宋" w:eastAsia="仿宋" w:cs="仿宋_GB2312"/>
          <w:b/>
          <w:bCs/>
          <w:sz w:val="32"/>
          <w:szCs w:val="32"/>
          <w:highlight w:val="none"/>
          <w:lang w:val="en-US" w:eastAsia="zh-CN"/>
        </w:rPr>
        <w:t>收入支出决算总体情况说明</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2023年度本部门收入总计</w:t>
      </w:r>
      <w:r>
        <w:rPr>
          <w:rFonts w:hint="eastAsia" w:ascii="仿宋" w:hAnsi="仿宋" w:eastAsia="仿宋" w:cs="仿宋_GB2312"/>
          <w:color w:val="auto"/>
          <w:sz w:val="32"/>
          <w:szCs w:val="32"/>
          <w:highlight w:val="none"/>
          <w:lang w:val="en-US" w:eastAsia="zh-CN"/>
        </w:rPr>
        <w:t>216.45</w:t>
      </w:r>
      <w:r>
        <w:rPr>
          <w:rFonts w:hint="default" w:ascii="仿宋" w:hAnsi="仿宋" w:eastAsia="仿宋" w:cs="仿宋_GB2312"/>
          <w:color w:val="auto"/>
          <w:sz w:val="32"/>
          <w:szCs w:val="32"/>
          <w:highlight w:val="none"/>
          <w:lang w:val="en-US" w:eastAsia="zh-CN"/>
        </w:rPr>
        <w:t>万元，支出总计</w:t>
      </w:r>
      <w:r>
        <w:rPr>
          <w:rFonts w:hint="eastAsia" w:ascii="仿宋" w:hAnsi="仿宋" w:eastAsia="仿宋" w:cs="仿宋_GB2312"/>
          <w:color w:val="auto"/>
          <w:sz w:val="32"/>
          <w:szCs w:val="32"/>
          <w:highlight w:val="none"/>
          <w:lang w:val="en-US" w:eastAsia="zh-CN"/>
        </w:rPr>
        <w:t>216.45</w:t>
      </w:r>
      <w:r>
        <w:rPr>
          <w:rFonts w:hint="default" w:ascii="仿宋" w:hAnsi="仿宋" w:eastAsia="仿宋" w:cs="仿宋_GB2312"/>
          <w:color w:val="auto"/>
          <w:sz w:val="32"/>
          <w:szCs w:val="32"/>
          <w:highlight w:val="none"/>
          <w:lang w:val="en-US" w:eastAsia="zh-CN"/>
        </w:rPr>
        <w:t>万元，与上年决算数相比，各</w:t>
      </w:r>
      <w:r>
        <w:rPr>
          <w:rFonts w:hint="eastAsia" w:ascii="仿宋" w:hAnsi="仿宋" w:eastAsia="仿宋" w:cs="仿宋_GB2312"/>
          <w:color w:val="auto"/>
          <w:sz w:val="32"/>
          <w:szCs w:val="32"/>
          <w:highlight w:val="none"/>
          <w:lang w:val="en-US" w:eastAsia="zh-CN"/>
        </w:rPr>
        <w:t>增加4.90</w:t>
      </w:r>
      <w:r>
        <w:rPr>
          <w:rFonts w:hint="default" w:ascii="仿宋" w:hAnsi="仿宋" w:eastAsia="仿宋" w:cs="仿宋_GB2312"/>
          <w:color w:val="auto"/>
          <w:sz w:val="32"/>
          <w:szCs w:val="32"/>
          <w:highlight w:val="none"/>
          <w:lang w:val="en-US" w:eastAsia="zh-CN"/>
        </w:rPr>
        <w:t>万元，</w:t>
      </w:r>
      <w:r>
        <w:rPr>
          <w:rFonts w:hint="eastAsia" w:ascii="仿宋" w:hAnsi="仿宋" w:eastAsia="仿宋" w:cs="仿宋_GB2312"/>
          <w:color w:val="auto"/>
          <w:sz w:val="32"/>
          <w:szCs w:val="32"/>
          <w:highlight w:val="none"/>
          <w:lang w:val="en-US" w:eastAsia="zh-CN"/>
        </w:rPr>
        <w:t>增长2.32</w:t>
      </w:r>
      <w:r>
        <w:rPr>
          <w:rFonts w:hint="default" w:ascii="仿宋" w:hAnsi="仿宋" w:eastAsia="仿宋" w:cs="仿宋_GB2312"/>
          <w:color w:val="auto"/>
          <w:sz w:val="32"/>
          <w:szCs w:val="32"/>
          <w:highlight w:val="none"/>
          <w:lang w:val="en-US" w:eastAsia="zh-CN"/>
        </w:rPr>
        <w:t>%。主要是</w:t>
      </w:r>
      <w:r>
        <w:rPr>
          <w:rFonts w:hint="eastAsia" w:ascii="仿宋" w:hAnsi="仿宋" w:eastAsia="仿宋" w:cs="仿宋_GB2312"/>
          <w:color w:val="auto"/>
          <w:sz w:val="32"/>
          <w:szCs w:val="32"/>
        </w:rPr>
        <w:t>人员工资正常增长导致经费正常增长</w:t>
      </w:r>
      <w:r>
        <w:rPr>
          <w:rFonts w:hint="default" w:ascii="仿宋" w:hAnsi="仿宋" w:eastAsia="仿宋" w:cs="仿宋_GB2312"/>
          <w:color w:val="auto"/>
          <w:sz w:val="32"/>
          <w:szCs w:val="32"/>
          <w:highlight w:val="none"/>
          <w:lang w:val="en-US" w:eastAsia="zh-CN"/>
        </w:rPr>
        <w:t>。</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3" w:firstLineChars="200"/>
        <w:jc w:val="both"/>
        <w:textAlignment w:val="auto"/>
        <w:outlineLvl w:val="9"/>
        <w:rPr>
          <w:rFonts w:hint="default" w:ascii="仿宋" w:hAnsi="仿宋" w:eastAsia="仿宋" w:cs="仿宋_GB2312"/>
          <w:b/>
          <w:bCs/>
          <w:color w:val="auto"/>
          <w:sz w:val="32"/>
          <w:szCs w:val="32"/>
          <w:highlight w:val="none"/>
          <w:lang w:val="en-US" w:eastAsia="zh-CN"/>
        </w:rPr>
      </w:pPr>
      <w:r>
        <w:rPr>
          <w:rFonts w:hint="eastAsia" w:ascii="仿宋" w:hAnsi="仿宋" w:eastAsia="仿宋" w:cs="仿宋_GB2312"/>
          <w:b/>
          <w:bCs/>
          <w:color w:val="auto"/>
          <w:sz w:val="32"/>
          <w:szCs w:val="32"/>
          <w:highlight w:val="none"/>
          <w:lang w:val="en-US" w:eastAsia="zh-CN"/>
        </w:rPr>
        <w:t>㈡</w:t>
      </w:r>
      <w:r>
        <w:rPr>
          <w:rFonts w:hint="default" w:ascii="仿宋" w:hAnsi="仿宋" w:eastAsia="仿宋" w:cs="仿宋_GB2312"/>
          <w:b/>
          <w:bCs/>
          <w:color w:val="auto"/>
          <w:sz w:val="32"/>
          <w:szCs w:val="32"/>
          <w:highlight w:val="none"/>
          <w:lang w:val="en-US" w:eastAsia="zh-CN"/>
        </w:rPr>
        <w:t>收入决算情况说明</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2023年度收入116.47万元，比上年决算数减少85.76万元，下降42.41％，具体情况如下：</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⒈一般公共预算财政拨款收入116.46万元。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⒉政府性基金预算财政拨款收入0.00万元。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⒊国有资本经营预算财政拨款收入0.00万元。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⒋上级补助收入0.00万元。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⒌事业收入0.00万元。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⒍经营收入0.00万元。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⒎附属单位上缴收入0.00万元。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⒏其他收入0.01万元。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㈢</w:t>
      </w:r>
      <w:r>
        <w:rPr>
          <w:rFonts w:hint="default" w:ascii="仿宋" w:hAnsi="仿宋" w:eastAsia="仿宋" w:cs="仿宋_GB2312"/>
          <w:color w:val="auto"/>
          <w:sz w:val="32"/>
          <w:szCs w:val="32"/>
          <w:highlight w:val="none"/>
          <w:lang w:val="en-US" w:eastAsia="zh-CN"/>
        </w:rPr>
        <w:t>支出决算情况说明</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2023年度支出208.20万元，比上年决算数增加96.08万元，增长85.69％，具体情况如下：</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⒈基本支出118.94万元。其中，人员支出114.96万元，公用支出3.98万元。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⒉项目支出89.25万元。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⒊上缴上级支出0.00万元。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⒋经营支出0.00万元。</w:t>
      </w:r>
    </w:p>
    <w:p>
      <w:pPr>
        <w:keepNext w:val="0"/>
        <w:keepLines w:val="0"/>
        <w:pageBreakBefore w:val="0"/>
        <w:widowControl w:val="0"/>
        <w:tabs>
          <w:tab w:val="left" w:pos="7513"/>
        </w:tabs>
        <w:kinsoku/>
        <w:wordWrap/>
        <w:overflowPunct/>
        <w:topLinePunct w:val="0"/>
        <w:bidi w:val="0"/>
        <w:adjustRightInd w:val="0"/>
        <w:spacing w:line="560" w:lineRule="exact"/>
        <w:ind w:left="0" w:leftChars="0" w:right="0" w:rightChars="0" w:firstLine="640" w:firstLineChars="200"/>
        <w:jc w:val="both"/>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⒌对附属单位补助支出0.00万元。</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rPr>
      </w:pPr>
      <w:bookmarkStart w:id="18" w:name="_Toc26347"/>
      <w:r>
        <w:rPr>
          <w:rFonts w:hint="eastAsia" w:ascii="黑体" w:hAnsi="黑体" w:eastAsia="黑体"/>
          <w:color w:val="auto"/>
          <w:sz w:val="32"/>
          <w:szCs w:val="32"/>
          <w:highlight w:val="none"/>
          <w:lang w:val="en-US" w:eastAsia="zh-CN"/>
        </w:rPr>
        <w:t>二、财政拨款收入支出决算总体情况说明</w:t>
      </w:r>
      <w:bookmarkEnd w:id="18"/>
    </w:p>
    <w:p>
      <w:pPr>
        <w:keepNext w:val="0"/>
        <w:keepLines w:val="0"/>
        <w:widowControl/>
        <w:suppressLineNumbers w:val="0"/>
        <w:spacing w:before="100" w:beforeAutospacing="0" w:after="100" w:afterAutospacing="0"/>
        <w:ind w:left="0" w:right="0" w:firstLine="640"/>
        <w:jc w:val="both"/>
        <w:rPr>
          <w:rFonts w:hint="default" w:ascii="sans-serif" w:hAnsi="sans-serif" w:eastAsia="sans-serif" w:cs="sans-serif"/>
          <w:i w:val="0"/>
          <w:iCs w:val="0"/>
          <w:caps w:val="0"/>
          <w:color w:val="auto"/>
          <w:spacing w:val="0"/>
          <w:sz w:val="32"/>
          <w:szCs w:val="32"/>
        </w:rPr>
      </w:pPr>
      <w:r>
        <w:rPr>
          <w:rFonts w:ascii="仿宋" w:hAnsi="仿宋" w:eastAsia="仿宋" w:cs="仿宋"/>
          <w:i w:val="0"/>
          <w:iCs w:val="0"/>
          <w:caps w:val="0"/>
          <w:color w:val="auto"/>
          <w:spacing w:val="0"/>
          <w:sz w:val="32"/>
          <w:szCs w:val="32"/>
        </w:rPr>
        <w:t>2023年度财政拨款收入总计</w:t>
      </w:r>
      <w:r>
        <w:rPr>
          <w:rFonts w:hint="eastAsia" w:ascii="仿宋" w:hAnsi="仿宋" w:eastAsia="仿宋" w:cs="仿宋"/>
          <w:i w:val="0"/>
          <w:iCs w:val="0"/>
          <w:caps w:val="0"/>
          <w:color w:val="auto"/>
          <w:spacing w:val="0"/>
          <w:sz w:val="32"/>
          <w:szCs w:val="32"/>
          <w:lang w:val="en-US" w:eastAsia="zh-CN"/>
        </w:rPr>
        <w:t>126.64</w:t>
      </w:r>
      <w:r>
        <w:rPr>
          <w:rFonts w:ascii="仿宋" w:hAnsi="仿宋" w:eastAsia="仿宋" w:cs="仿宋"/>
          <w:i w:val="0"/>
          <w:iCs w:val="0"/>
          <w:caps w:val="0"/>
          <w:color w:val="auto"/>
          <w:spacing w:val="0"/>
          <w:sz w:val="32"/>
          <w:szCs w:val="32"/>
        </w:rPr>
        <w:t>万元，支出总计</w:t>
      </w:r>
      <w:r>
        <w:rPr>
          <w:rFonts w:hint="eastAsia" w:ascii="仿宋" w:hAnsi="仿宋" w:eastAsia="仿宋" w:cs="仿宋"/>
          <w:i w:val="0"/>
          <w:iCs w:val="0"/>
          <w:caps w:val="0"/>
          <w:color w:val="auto"/>
          <w:spacing w:val="0"/>
          <w:sz w:val="32"/>
          <w:szCs w:val="32"/>
          <w:lang w:val="en-US" w:eastAsia="zh-CN"/>
        </w:rPr>
        <w:t>126.64</w:t>
      </w:r>
      <w:r>
        <w:rPr>
          <w:rFonts w:ascii="仿宋" w:hAnsi="仿宋" w:eastAsia="仿宋" w:cs="仿宋"/>
          <w:i w:val="0"/>
          <w:iCs w:val="0"/>
          <w:caps w:val="0"/>
          <w:color w:val="auto"/>
          <w:spacing w:val="0"/>
          <w:sz w:val="32"/>
          <w:szCs w:val="32"/>
        </w:rPr>
        <w:t>万元，与上年决算数相比，各增加</w:t>
      </w:r>
      <w:r>
        <w:rPr>
          <w:rFonts w:hint="eastAsia" w:ascii="仿宋" w:hAnsi="仿宋" w:eastAsia="仿宋" w:cs="仿宋"/>
          <w:i w:val="0"/>
          <w:iCs w:val="0"/>
          <w:caps w:val="0"/>
          <w:color w:val="auto"/>
          <w:spacing w:val="0"/>
          <w:sz w:val="32"/>
          <w:szCs w:val="32"/>
          <w:lang w:val="en-US" w:eastAsia="zh-CN"/>
        </w:rPr>
        <w:t>13.19</w:t>
      </w:r>
      <w:r>
        <w:rPr>
          <w:rFonts w:hint="eastAsia" w:ascii="仿宋" w:hAnsi="仿宋" w:eastAsia="仿宋" w:cs="仿宋"/>
          <w:i w:val="0"/>
          <w:iCs w:val="0"/>
          <w:caps w:val="0"/>
          <w:color w:val="auto"/>
          <w:spacing w:val="0"/>
          <w:sz w:val="32"/>
          <w:szCs w:val="32"/>
        </w:rPr>
        <w:t>万元，增长</w:t>
      </w:r>
      <w:r>
        <w:rPr>
          <w:rFonts w:hint="eastAsia" w:ascii="仿宋" w:hAnsi="仿宋" w:eastAsia="仿宋" w:cs="仿宋"/>
          <w:i w:val="0"/>
          <w:iCs w:val="0"/>
          <w:caps w:val="0"/>
          <w:color w:val="auto"/>
          <w:spacing w:val="0"/>
          <w:sz w:val="32"/>
          <w:szCs w:val="32"/>
          <w:lang w:val="en-US" w:eastAsia="zh-CN"/>
        </w:rPr>
        <w:t>11.63</w:t>
      </w:r>
      <w:r>
        <w:rPr>
          <w:rFonts w:hint="eastAsia" w:ascii="仿宋" w:hAnsi="仿宋" w:eastAsia="仿宋" w:cs="仿宋"/>
          <w:i w:val="0"/>
          <w:iCs w:val="0"/>
          <w:caps w:val="0"/>
          <w:color w:val="auto"/>
          <w:spacing w:val="0"/>
          <w:sz w:val="32"/>
          <w:szCs w:val="32"/>
        </w:rPr>
        <w:t>%，</w:t>
      </w:r>
      <w:r>
        <w:rPr>
          <w:rFonts w:hint="eastAsia" w:ascii="仿宋" w:hAnsi="仿宋" w:eastAsia="仿宋" w:cs="仿宋"/>
          <w:i w:val="0"/>
          <w:iCs w:val="0"/>
          <w:caps w:val="0"/>
          <w:color w:val="auto"/>
          <w:spacing w:val="0"/>
          <w:kern w:val="0"/>
          <w:sz w:val="32"/>
          <w:szCs w:val="32"/>
          <w:lang w:val="en-US" w:eastAsia="zh-CN" w:bidi="ar"/>
        </w:rPr>
        <w:t>主要是：</w:t>
      </w:r>
      <w:r>
        <w:rPr>
          <w:rFonts w:hint="eastAsia" w:ascii="仿宋" w:hAnsi="仿宋" w:eastAsia="仿宋" w:cs="仿宋_GB2312"/>
          <w:color w:val="auto"/>
          <w:sz w:val="32"/>
          <w:szCs w:val="32"/>
        </w:rPr>
        <w:t>人员工资正常增长导致经费正常增长</w:t>
      </w:r>
      <w:r>
        <w:rPr>
          <w:rFonts w:hint="eastAsia" w:ascii="仿宋" w:hAnsi="仿宋" w:eastAsia="仿宋" w:cs="仿宋"/>
          <w:i w:val="0"/>
          <w:iCs w:val="0"/>
          <w:caps w:val="0"/>
          <w:color w:val="auto"/>
          <w:spacing w:val="0"/>
          <w:kern w:val="0"/>
          <w:sz w:val="32"/>
          <w:szCs w:val="32"/>
          <w:lang w:val="en-US" w:eastAsia="zh-CN" w:bidi="ar"/>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lang w:val="en-US" w:eastAsia="zh-CN"/>
        </w:rPr>
      </w:pPr>
      <w:bookmarkStart w:id="19" w:name="_Toc11250"/>
      <w:r>
        <w:rPr>
          <w:rFonts w:hint="eastAsia" w:ascii="黑体" w:hAnsi="黑体" w:eastAsia="黑体"/>
          <w:color w:val="auto"/>
          <w:sz w:val="32"/>
          <w:szCs w:val="32"/>
          <w:highlight w:val="none"/>
          <w:lang w:val="en-US" w:eastAsia="zh-CN"/>
        </w:rPr>
        <w:t>三、一般公共预算财政拨款支出决算情况说明</w:t>
      </w:r>
      <w:bookmarkEnd w:id="19"/>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2023年一般公共预算支出118.39万元，比上年决算数增加15.12万元，增长14.64%，具体情况如下(按项级科目分类统计)：</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㈠</w:t>
      </w:r>
      <w:r>
        <w:rPr>
          <w:rFonts w:hint="eastAsia" w:ascii="仿宋" w:hAnsi="仿宋" w:eastAsia="仿宋"/>
          <w:color w:val="auto"/>
          <w:sz w:val="32"/>
          <w:szCs w:val="32"/>
        </w:rPr>
        <w:t>2050302-中等职业教育支出</w:t>
      </w:r>
      <w:r>
        <w:rPr>
          <w:rFonts w:hint="eastAsia" w:ascii="仿宋" w:hAnsi="仿宋" w:eastAsia="仿宋"/>
          <w:color w:val="auto"/>
          <w:sz w:val="32"/>
          <w:szCs w:val="32"/>
          <w:lang w:val="en-US" w:eastAsia="zh-CN"/>
        </w:rPr>
        <w:t>118.39</w:t>
      </w:r>
      <w:r>
        <w:rPr>
          <w:rFonts w:hint="eastAsia" w:ascii="仿宋" w:hAnsi="仿宋" w:eastAsia="仿宋"/>
          <w:color w:val="auto"/>
          <w:sz w:val="32"/>
          <w:szCs w:val="32"/>
        </w:rPr>
        <w:t>万元，较上年决算数增加</w:t>
      </w:r>
      <w:r>
        <w:rPr>
          <w:rFonts w:hint="eastAsia" w:ascii="仿宋" w:hAnsi="仿宋" w:eastAsia="仿宋"/>
          <w:color w:val="auto"/>
          <w:sz w:val="32"/>
          <w:szCs w:val="32"/>
          <w:lang w:val="en-US" w:eastAsia="zh-CN"/>
        </w:rPr>
        <w:t>21.66</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22.39</w:t>
      </w:r>
      <w:r>
        <w:rPr>
          <w:rFonts w:hint="eastAsia" w:ascii="仿宋" w:hAnsi="仿宋" w:eastAsia="仿宋"/>
          <w:color w:val="auto"/>
          <w:sz w:val="32"/>
          <w:szCs w:val="32"/>
        </w:rPr>
        <w:t>%。主要原因是本级工资、奖金等人员经费及日常运行经费支出增加</w:t>
      </w:r>
      <w:r>
        <w:rPr>
          <w:rFonts w:hint="eastAsia" w:ascii="仿宋" w:hAnsi="仿宋" w:eastAsia="仿宋" w:cs="仿宋"/>
          <w:i w:val="0"/>
          <w:iCs w:val="0"/>
          <w:caps w:val="0"/>
          <w:color w:val="auto"/>
          <w:spacing w:val="0"/>
          <w:sz w:val="32"/>
          <w:szCs w:val="32"/>
          <w:lang w:val="en-US" w:eastAsia="zh-CN"/>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lang w:val="en-US" w:eastAsia="zh-CN"/>
        </w:rPr>
      </w:pPr>
      <w:bookmarkStart w:id="20" w:name="_Toc23957"/>
      <w:r>
        <w:rPr>
          <w:rFonts w:hint="eastAsia" w:ascii="黑体" w:hAnsi="黑体" w:eastAsia="黑体"/>
          <w:color w:val="auto"/>
          <w:sz w:val="32"/>
          <w:szCs w:val="32"/>
          <w:highlight w:val="none"/>
          <w:lang w:val="en-US" w:eastAsia="zh-CN"/>
        </w:rPr>
        <w:t>四、政府性基金预算财政拨款支出决算情况说明</w:t>
      </w:r>
      <w:bookmarkEnd w:id="20"/>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2023年度政府性基金支出0.00万元，比上年决算数增加0.00万元，增长0.00%，</w:t>
      </w:r>
      <w:r>
        <w:rPr>
          <w:rFonts w:hint="eastAsia" w:ascii="仿宋" w:hAnsi="仿宋" w:eastAsia="仿宋" w:cs="仿宋_GB2312"/>
          <w:color w:val="auto"/>
          <w:sz w:val="32"/>
          <w:szCs w:val="32"/>
        </w:rPr>
        <w:t>与上年持平，</w:t>
      </w:r>
      <w:r>
        <w:rPr>
          <w:rFonts w:hint="eastAsia" w:ascii="仿宋" w:hAnsi="仿宋" w:eastAsia="仿宋" w:cs="仿宋"/>
          <w:i w:val="0"/>
          <w:iCs w:val="0"/>
          <w:caps w:val="0"/>
          <w:color w:val="auto"/>
          <w:spacing w:val="0"/>
          <w:sz w:val="32"/>
          <w:szCs w:val="32"/>
          <w:lang w:val="en-US" w:eastAsia="zh-CN"/>
        </w:rPr>
        <w:t>本部门2023年度没有使用政府性基金预算拨款安排的支出。</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lang w:val="en-US" w:eastAsia="zh-CN"/>
        </w:rPr>
      </w:pPr>
      <w:bookmarkStart w:id="21" w:name="_Toc7861"/>
      <w:r>
        <w:rPr>
          <w:rFonts w:hint="eastAsia" w:ascii="黑体" w:hAnsi="黑体" w:eastAsia="黑体"/>
          <w:color w:val="auto"/>
          <w:sz w:val="32"/>
          <w:szCs w:val="32"/>
          <w:highlight w:val="none"/>
          <w:lang w:val="en-US" w:eastAsia="zh-CN"/>
        </w:rPr>
        <w:t>五、国有资本经营预算财政拨款支出决算情况说明</w:t>
      </w:r>
      <w:bookmarkEnd w:id="21"/>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2023年度国有资本经营预算支出0.00万元，比上年决算数增加0.00万元，增长0.00%，</w:t>
      </w:r>
      <w:r>
        <w:rPr>
          <w:rFonts w:hint="eastAsia" w:ascii="仿宋" w:hAnsi="仿宋" w:eastAsia="仿宋" w:cs="仿宋_GB2312"/>
          <w:color w:val="auto"/>
          <w:sz w:val="32"/>
          <w:szCs w:val="32"/>
        </w:rPr>
        <w:t>与上年持平，</w:t>
      </w:r>
      <w:r>
        <w:rPr>
          <w:rFonts w:hint="eastAsia" w:ascii="仿宋" w:hAnsi="仿宋" w:eastAsia="仿宋" w:cs="仿宋"/>
          <w:i w:val="0"/>
          <w:iCs w:val="0"/>
          <w:caps w:val="0"/>
          <w:color w:val="auto"/>
          <w:spacing w:val="0"/>
          <w:sz w:val="32"/>
          <w:szCs w:val="32"/>
          <w:lang w:val="en-US" w:eastAsia="zh-CN"/>
        </w:rPr>
        <w:t>本部门2023年度没有使用国有资本经营预算财政拨款安排的支出。</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lang w:val="en-US" w:eastAsia="zh-CN"/>
        </w:rPr>
      </w:pPr>
      <w:bookmarkStart w:id="22" w:name="_Toc4271"/>
      <w:r>
        <w:rPr>
          <w:rFonts w:hint="eastAsia" w:ascii="黑体" w:hAnsi="黑体" w:eastAsia="黑体"/>
          <w:color w:val="auto"/>
          <w:sz w:val="32"/>
          <w:szCs w:val="32"/>
          <w:highlight w:val="none"/>
          <w:lang w:val="en-US" w:eastAsia="zh-CN"/>
        </w:rPr>
        <w:t>六、一般公共预算财政拨款基本支出决算情况说明</w:t>
      </w:r>
      <w:bookmarkEnd w:id="22"/>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2023年度一般公共预算财政拨款基本支出118.39万元，其中：</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㈠人员经费114.96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㈡公用经费3.43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lang w:val="en-US" w:eastAsia="zh-CN"/>
        </w:rPr>
      </w:pPr>
      <w:bookmarkStart w:id="23" w:name="_Toc13410"/>
      <w:r>
        <w:rPr>
          <w:rFonts w:hint="eastAsia" w:ascii="黑体" w:hAnsi="黑体" w:eastAsia="黑体"/>
          <w:color w:val="auto"/>
          <w:sz w:val="32"/>
          <w:szCs w:val="32"/>
          <w:highlight w:val="none"/>
          <w:lang w:val="en-US" w:eastAsia="zh-CN"/>
        </w:rPr>
        <w:t>七、一般公共预算拨款“三公”经费支出决算情况说明</w:t>
      </w:r>
      <w:bookmarkEnd w:id="23"/>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2023年度一般公共预算拨款“三公”经费支出0.00万元，完成全年预算的0.00%，</w:t>
      </w:r>
      <w:r>
        <w:rPr>
          <w:rFonts w:hint="eastAsia" w:ascii="仿宋" w:hAnsi="仿宋" w:eastAsia="仿宋" w:cs="仿宋_GB2312"/>
          <w:color w:val="auto"/>
          <w:sz w:val="32"/>
          <w:szCs w:val="32"/>
        </w:rPr>
        <w:t>与全年预算数持平</w:t>
      </w:r>
      <w:r>
        <w:rPr>
          <w:rFonts w:hint="eastAsia" w:ascii="仿宋" w:hAnsi="仿宋" w:eastAsia="仿宋" w:cs="仿宋"/>
          <w:i w:val="0"/>
          <w:iCs w:val="0"/>
          <w:caps w:val="0"/>
          <w:color w:val="auto"/>
          <w:spacing w:val="0"/>
          <w:sz w:val="32"/>
          <w:szCs w:val="32"/>
          <w:lang w:val="en-US" w:eastAsia="zh-CN"/>
        </w:rPr>
        <w:t>；较上年减少0.00万元，降低0.00%</w:t>
      </w:r>
      <w:r>
        <w:rPr>
          <w:rFonts w:hint="eastAsia" w:ascii="仿宋" w:hAnsi="仿宋" w:eastAsia="仿宋" w:cs="仿宋_GB2312"/>
          <w:color w:val="auto"/>
          <w:sz w:val="32"/>
          <w:szCs w:val="32"/>
        </w:rPr>
        <w:t>，与上年持平</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_GB2312"/>
          <w:color w:val="auto"/>
          <w:sz w:val="32"/>
          <w:szCs w:val="32"/>
        </w:rPr>
        <w:t>当年决算数与全年预算数无差异的主要原因是：本部门全年预算未安排一般公共预算财政拨款“三公”经费支出，当年也未产生一般公共预算财政拨款“三公”经费支出费用，严格贯彻落实中央八项规定精神以及过紧日子要求、厉行节约反对浪费，严控“三公”经费支出。当年决算数与上年决算数无差异的主要原因是：本部门未发生"三公"经费财政拨款支出。</w:t>
      </w:r>
      <w:r>
        <w:rPr>
          <w:rFonts w:hint="eastAsia" w:ascii="仿宋" w:hAnsi="仿宋" w:eastAsia="仿宋" w:cs="仿宋"/>
          <w:i w:val="0"/>
          <w:iCs w:val="0"/>
          <w:caps w:val="0"/>
          <w:color w:val="auto"/>
          <w:spacing w:val="0"/>
          <w:sz w:val="32"/>
          <w:szCs w:val="32"/>
          <w:lang w:val="en-US" w:eastAsia="zh-CN"/>
        </w:rPr>
        <w:t>具体情况如下：</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㈠因公出国（境）费支出0.00万元，完成全年预算的0.00%，</w:t>
      </w:r>
      <w:r>
        <w:rPr>
          <w:rFonts w:hint="eastAsia" w:ascii="仿宋" w:hAnsi="仿宋" w:eastAsia="仿宋" w:cs="仿宋_GB2312"/>
          <w:color w:val="auto"/>
          <w:sz w:val="32"/>
          <w:szCs w:val="32"/>
        </w:rPr>
        <w:t>与全年预算数持平；较上年增加0.00万元，增长0.00%，与上年持平。全年安排本部门组织的出国团组0个，参加其他部门出国团组0个；全年因公出国（境）累计0人次。当年决算数与全年预算数无差异的主要原因是：本部门全年预算未安排因公出国（境）费支出，当年也未产生因公出国（境）费支出费用，严格贯彻落实中央八项规定精神以及过紧日子要求、厉行节约反对浪费，严控“三公”经费支出。当年决算数与上年决算数无差异的主要原因是：本部门未发生出国（境）活动</w:t>
      </w:r>
      <w:r>
        <w:rPr>
          <w:rFonts w:hint="eastAsia" w:ascii="仿宋" w:hAnsi="仿宋" w:eastAsia="仿宋" w:cs="仿宋"/>
          <w:i w:val="0"/>
          <w:iCs w:val="0"/>
          <w:caps w:val="0"/>
          <w:color w:val="auto"/>
          <w:spacing w:val="0"/>
          <w:sz w:val="32"/>
          <w:szCs w:val="32"/>
          <w:lang w:val="en-US" w:eastAsia="zh-CN"/>
        </w:rPr>
        <w:t>。</w:t>
      </w:r>
    </w:p>
    <w:p>
      <w:pPr>
        <w:tabs>
          <w:tab w:val="left" w:pos="7513"/>
        </w:tabs>
        <w:adjustRightInd w:val="0"/>
        <w:snapToGrid w:val="0"/>
        <w:spacing w:line="600" w:lineRule="exact"/>
        <w:ind w:firstLine="645"/>
        <w:rPr>
          <w:rFonts w:ascii="仿宋" w:hAnsi="仿宋" w:eastAsia="仿宋" w:cs="仿宋_GB2312"/>
          <w:color w:val="auto"/>
          <w:sz w:val="32"/>
          <w:szCs w:val="32"/>
        </w:rPr>
      </w:pPr>
      <w:r>
        <w:rPr>
          <w:rFonts w:hint="eastAsia" w:ascii="仿宋" w:hAnsi="仿宋" w:eastAsia="仿宋" w:cs="仿宋"/>
          <w:i w:val="0"/>
          <w:iCs w:val="0"/>
          <w:caps w:val="0"/>
          <w:color w:val="auto"/>
          <w:spacing w:val="0"/>
          <w:sz w:val="32"/>
          <w:szCs w:val="32"/>
          <w:lang w:val="en-US" w:eastAsia="zh-CN"/>
        </w:rPr>
        <w:t>㈡公务用车购置及运行费支出</w:t>
      </w:r>
      <w:r>
        <w:rPr>
          <w:rFonts w:ascii="仿宋" w:hAnsi="仿宋" w:eastAsia="仿宋" w:cs="仿宋_GB2312"/>
          <w:color w:val="auto"/>
          <w:sz w:val="32"/>
          <w:szCs w:val="32"/>
        </w:rPr>
        <w:t>0.00万元，完成全年预算数0.00%，与全年预算数持平；较上年增加0.00万元，增长0.00%，与上年持平。其中：</w:t>
      </w:r>
    </w:p>
    <w:p>
      <w:pPr>
        <w:tabs>
          <w:tab w:val="left" w:pos="7513"/>
        </w:tabs>
        <w:adjustRightInd w:val="0"/>
        <w:snapToGrid w:val="0"/>
        <w:spacing w:line="600" w:lineRule="exact"/>
        <w:ind w:firstLine="645"/>
        <w:rPr>
          <w:rFonts w:ascii="仿宋" w:hAnsi="仿宋" w:eastAsia="仿宋" w:cs="仿宋_GB2312"/>
          <w:color w:val="auto"/>
          <w:sz w:val="32"/>
          <w:szCs w:val="32"/>
        </w:rPr>
      </w:pPr>
      <w:r>
        <w:rPr>
          <w:rFonts w:ascii="仿宋" w:hAnsi="仿宋" w:eastAsia="仿宋" w:cs="仿宋_GB2312"/>
          <w:color w:val="auto"/>
          <w:sz w:val="32"/>
          <w:szCs w:val="32"/>
        </w:rPr>
        <w:t>公务用车购置费支出0.00万元，完成全年预算数0.00%，与全年预算数持平；较上年增加0.00万元，增长0.00%，与上年持平。2022年度公务用车购置0辆，当年决算数与全年预算数无差异的主要原因是：本部门全年预算未安排公务用车购置费支出，当年也未产生公务用车购置费支出费用，严格贯彻落实中央八项规定精神以及过紧日子要求、厉行节约反对浪费，严控“三公”经费支出。当年决算数与上年决算数无差异的主要原因是：本部门未发生车辆购置。</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_GB2312"/>
          <w:color w:val="auto"/>
          <w:sz w:val="32"/>
          <w:szCs w:val="32"/>
        </w:rPr>
        <w:t>公务用车运行费支出0.00万元，完成全年预算数0.00%，与全年预算数持平；较上年增加0.00万元，增长0.00%，与上年持平。当年决算数与全年预算数无差异的主要原因是：本部门全年预算未安排公务用车运行费支出，当年也未产生公务用车运行费支出费用，严格贯彻落实中央八项规定精神以及过紧日子要求、厉行节约反对浪费，严控“三公”经费支出。当年决算数与上年决算数无差异的主要原因是：本部门未发生车辆运行经费。截至2022年12月31日，本部门公务用车保有量为0辆</w:t>
      </w:r>
      <w:r>
        <w:rPr>
          <w:rFonts w:hint="eastAsia" w:ascii="仿宋" w:hAnsi="仿宋" w:eastAsia="仿宋" w:cs="仿宋"/>
          <w:i w:val="0"/>
          <w:iCs w:val="0"/>
          <w:caps w:val="0"/>
          <w:color w:val="auto"/>
          <w:spacing w:val="0"/>
          <w:sz w:val="32"/>
          <w:szCs w:val="32"/>
          <w:lang w:val="en-US" w:eastAsia="zh-CN"/>
        </w:rPr>
        <w:t>。</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㈢公务接待费支出</w:t>
      </w:r>
      <w:r>
        <w:rPr>
          <w:rFonts w:hint="eastAsia" w:ascii="仿宋" w:hAnsi="仿宋" w:eastAsia="仿宋" w:cs="仿宋_GB2312"/>
          <w:color w:val="auto"/>
          <w:sz w:val="32"/>
          <w:szCs w:val="32"/>
        </w:rPr>
        <w:t>0.00万元，完成全年预算数0.00%，与全年预算数持平；较上年增加0.00万元，增长0.00%，与上年持平。当年决算数与全年预算数无差异的主要原因是：本部门全年预算未安排公务接待费支出，当年也未产生公务接待费支出费用，严格贯彻落实中央八项规定精神以及过紧日子要求、厉行节约反对浪费，严控“三公”经费支出。当年决算数与上年决算数无差异的主要原因是：本部门未发生公务接待费。累计接待0批次、0人次</w:t>
      </w:r>
      <w:r>
        <w:rPr>
          <w:rFonts w:hint="eastAsia" w:ascii="仿宋" w:hAnsi="仿宋" w:eastAsia="仿宋" w:cs="仿宋"/>
          <w:i w:val="0"/>
          <w:iCs w:val="0"/>
          <w:caps w:val="0"/>
          <w:color w:val="auto"/>
          <w:spacing w:val="0"/>
          <w:sz w:val="32"/>
          <w:szCs w:val="32"/>
          <w:lang w:val="en-US" w:eastAsia="zh-CN"/>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lang w:val="en-US" w:eastAsia="zh-CN"/>
        </w:rPr>
      </w:pPr>
      <w:bookmarkStart w:id="24" w:name="_Toc20312"/>
      <w:r>
        <w:rPr>
          <w:rFonts w:hint="eastAsia" w:ascii="黑体" w:hAnsi="黑体" w:eastAsia="黑体"/>
          <w:color w:val="auto"/>
          <w:sz w:val="32"/>
          <w:szCs w:val="32"/>
          <w:highlight w:val="none"/>
          <w:lang w:val="en-US" w:eastAsia="zh-CN"/>
        </w:rPr>
        <w:t>八、预算绩效情况说明</w:t>
      </w:r>
      <w:bookmarkEnd w:id="24"/>
    </w:p>
    <w:p>
      <w:pPr>
        <w:ind w:firstLine="640" w:firstLineChars="200"/>
        <w:rPr>
          <w:rFonts w:ascii="仿宋" w:hAnsi="仿宋" w:eastAsia="仿宋"/>
          <w:sz w:val="32"/>
          <w:szCs w:val="32"/>
        </w:rPr>
      </w:pPr>
      <w:r>
        <w:rPr>
          <w:rFonts w:hint="eastAsia" w:ascii="仿宋" w:hAnsi="仿宋" w:eastAsia="仿宋" w:cs="仿宋"/>
          <w:i w:val="0"/>
          <w:iCs w:val="0"/>
          <w:caps w:val="0"/>
          <w:color w:val="auto"/>
          <w:spacing w:val="0"/>
          <w:sz w:val="32"/>
          <w:szCs w:val="32"/>
          <w:lang w:val="en-US" w:eastAsia="zh-CN"/>
        </w:rPr>
        <w:t>根据全面实施预算绩效管理要求，本部门组织对2023年度1个项目实施单位自评。</w:t>
      </w:r>
      <w:r>
        <w:rPr>
          <w:rFonts w:hint="eastAsia" w:ascii="仿宋" w:hAnsi="仿宋" w:eastAsia="仿宋"/>
          <w:sz w:val="32"/>
          <w:szCs w:val="32"/>
        </w:rPr>
        <w:t>分别是教育系统财政专户款回拨项目，涉及财政拨款资金共计</w:t>
      </w:r>
      <w:r>
        <w:rPr>
          <w:rFonts w:hint="eastAsia" w:ascii="仿宋" w:hAnsi="仿宋" w:eastAsia="仿宋"/>
          <w:sz w:val="32"/>
          <w:szCs w:val="32"/>
          <w:lang w:val="en-US" w:eastAsia="zh-CN"/>
        </w:rPr>
        <w:t>0.55</w:t>
      </w:r>
      <w:r>
        <w:rPr>
          <w:rFonts w:hint="eastAsia" w:ascii="仿宋" w:hAnsi="仿宋" w:eastAsia="仿宋"/>
          <w:sz w:val="32"/>
          <w:szCs w:val="32"/>
        </w:rPr>
        <w:t>万元。（《项目支出绩效自评表》详见附件一）</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sz w:val="32"/>
          <w:szCs w:val="32"/>
        </w:rPr>
        <w:t>对0个项目实施部门评价，涉及财政拨款资金共计0万元，主要是本部门202</w:t>
      </w:r>
      <w:r>
        <w:rPr>
          <w:rFonts w:hint="eastAsia" w:ascii="仿宋" w:hAnsi="仿宋" w:eastAsia="仿宋"/>
          <w:sz w:val="32"/>
          <w:szCs w:val="32"/>
          <w:lang w:val="en-US" w:eastAsia="zh-CN"/>
        </w:rPr>
        <w:t>3</w:t>
      </w:r>
      <w:r>
        <w:rPr>
          <w:rFonts w:hint="eastAsia" w:ascii="仿宋" w:hAnsi="仿宋" w:eastAsia="仿宋"/>
          <w:sz w:val="32"/>
          <w:szCs w:val="32"/>
        </w:rPr>
        <w:t>年度无相关的部门评价项目，无《项目支出绩效评价报告》</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textAlignment w:val="auto"/>
        <w:outlineLvl w:val="1"/>
        <w:rPr>
          <w:rFonts w:hint="default" w:ascii="黑体" w:hAnsi="黑体" w:eastAsia="黑体"/>
          <w:color w:val="auto"/>
          <w:sz w:val="32"/>
          <w:szCs w:val="32"/>
          <w:highlight w:val="none"/>
          <w:lang w:val="en-US" w:eastAsia="zh-CN"/>
        </w:rPr>
      </w:pPr>
      <w:bookmarkStart w:id="25" w:name="_Toc21365"/>
      <w:r>
        <w:rPr>
          <w:rFonts w:hint="eastAsia" w:ascii="黑体" w:hAnsi="黑体" w:eastAsia="黑体"/>
          <w:color w:val="auto"/>
          <w:sz w:val="32"/>
          <w:szCs w:val="32"/>
          <w:highlight w:val="none"/>
          <w:lang w:val="en-US" w:eastAsia="zh-CN"/>
        </w:rPr>
        <w:t>九、其他重要事项说明</w:t>
      </w:r>
      <w:bookmarkEnd w:id="25"/>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㈠机关运行经费</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2023年度机关运行经费支出</w:t>
      </w:r>
      <w:r>
        <w:rPr>
          <w:rFonts w:hint="eastAsia" w:ascii="仿宋" w:hAnsi="仿宋" w:eastAsia="仿宋" w:cs="仿宋_GB2312"/>
          <w:color w:val="auto"/>
          <w:sz w:val="32"/>
          <w:szCs w:val="32"/>
        </w:rPr>
        <w:t xml:space="preserve">0.00万元，增长0.00%，与上年持平，主要是: </w:t>
      </w:r>
      <w:r>
        <w:rPr>
          <w:rFonts w:hint="eastAsia" w:ascii="仿宋" w:hAnsi="仿宋" w:eastAsia="仿宋" w:cs="仿宋"/>
          <w:i w:val="0"/>
          <w:iCs w:val="0"/>
          <w:caps w:val="0"/>
          <w:color w:val="auto"/>
          <w:spacing w:val="0"/>
          <w:sz w:val="32"/>
          <w:szCs w:val="32"/>
          <w:lang w:val="en-US" w:eastAsia="zh-CN"/>
        </w:rPr>
        <w:t>本部门为事业单位没有机关运行经费。</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㈡政府采购情况</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本部门2023年度政府采购支出总额1.79万元，其中：政府采购货物支出1.79万元、政府采购工程支出0.00万元、政府采购服务支出0.00万元。授予中小企业合同金额1.79万元，占政府采购支出总额的100.00%，其中：授予小微企业合同金额1.79万元，占授予中小企业合同金额的100.00%；货物采购授予中小企业合同金额占货物支出金额的100.00%，工程采购授予中小企业合同金额占工程支出金额的0.00%，服务采购授予中小企业合同金额占服务支出金额的0.00%。</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注：本部门2023年度没有政府采购支出。</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㈢国有资产占用使用情况</w:t>
      </w:r>
    </w:p>
    <w:p>
      <w:pPr>
        <w:keepNext w:val="0"/>
        <w:keepLines w:val="0"/>
        <w:widowControl/>
        <w:suppressLineNumbers w:val="0"/>
        <w:spacing w:before="100" w:beforeAutospacing="0" w:after="100" w:afterAutospacing="0"/>
        <w:ind w:left="0" w:right="0" w:firstLine="640"/>
        <w:jc w:val="both"/>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t>截至2023年12月31日，本部门共有车辆0辆，其中：副部（省）级以上领导用车0辆、主要领导干部用车0辆、机要通信用车0辆、应急保障用车0辆、执法执勤用车0辆、特种专业技术用车0辆、离退休干部用车0辆、其他用车0辆；单位价值100万元以上设备（不含车辆）0台（套）。</w:t>
      </w:r>
    </w:p>
    <w:p>
      <w:pPr>
        <w:keepNext w:val="0"/>
        <w:keepLines w:val="0"/>
        <w:widowControl/>
        <w:suppressLineNumbers w:val="0"/>
        <w:spacing w:before="100" w:beforeAutospacing="0" w:after="100" w:afterAutospacing="0"/>
        <w:ind w:right="0"/>
        <w:jc w:val="center"/>
        <w:outlineLvl w:val="0"/>
        <w:rPr>
          <w:rFonts w:ascii="仿宋" w:hAnsi="仿宋" w:eastAsia="仿宋"/>
          <w:b/>
          <w:bCs/>
          <w:sz w:val="32"/>
          <w:szCs w:val="32"/>
          <w:highlight w:val="none"/>
        </w:rPr>
      </w:pPr>
      <w:r>
        <w:rPr>
          <w:rFonts w:hint="eastAsia" w:ascii="仿宋" w:hAnsi="仿宋" w:eastAsia="仿宋" w:cs="仿宋"/>
          <w:i w:val="0"/>
          <w:iCs w:val="0"/>
          <w:caps w:val="0"/>
          <w:color w:val="000000"/>
          <w:spacing w:val="0"/>
          <w:sz w:val="32"/>
          <w:szCs w:val="32"/>
          <w:lang w:val="en-US" w:eastAsia="zh-CN"/>
        </w:rPr>
        <w:br w:type="page"/>
      </w:r>
      <w:bookmarkStart w:id="26" w:name="_Toc21134"/>
      <w:r>
        <w:rPr>
          <w:rFonts w:hint="eastAsia" w:ascii="黑体" w:hAnsi="黑体" w:eastAsia="黑体"/>
          <w:b/>
          <w:bCs/>
          <w:sz w:val="36"/>
          <w:szCs w:val="36"/>
          <w:highlight w:val="none"/>
        </w:rPr>
        <w:t>第四部分</w:t>
      </w:r>
      <w:r>
        <w:rPr>
          <w:rFonts w:ascii="黑体" w:hAnsi="黑体" w:eastAsia="黑体"/>
          <w:b/>
          <w:bCs/>
          <w:sz w:val="36"/>
          <w:szCs w:val="36"/>
          <w:highlight w:val="none"/>
        </w:rPr>
        <w:t xml:space="preserve"> </w:t>
      </w:r>
      <w:r>
        <w:rPr>
          <w:rFonts w:hint="eastAsia" w:ascii="黑体" w:hAnsi="黑体" w:eastAsia="黑体"/>
          <w:b/>
          <w:bCs/>
          <w:sz w:val="36"/>
          <w:szCs w:val="36"/>
          <w:highlight w:val="none"/>
        </w:rPr>
        <w:t>名词解释</w:t>
      </w:r>
      <w:bookmarkEnd w:id="26"/>
    </w:p>
    <w:p>
      <w:pPr>
        <w:autoSpaceDE w:val="0"/>
        <w:autoSpaceDN w:val="0"/>
        <w:adjustRightInd w:val="0"/>
        <w:spacing w:line="560" w:lineRule="exact"/>
        <w:ind w:firstLine="640" w:firstLineChars="200"/>
        <w:rPr>
          <w:rFonts w:ascii="仿宋" w:hAnsi="仿宋" w:eastAsia="仿宋" w:cs="仿宋_GB2312"/>
          <w:kern w:val="0"/>
          <w:sz w:val="32"/>
          <w:szCs w:val="32"/>
          <w:highlight w:val="none"/>
        </w:rPr>
      </w:pP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一、财政拨款收入：指单位从本级财政部门取得的财政预算资金，包括一般公共预算财政拨款、政府性基金预算财政拨款和国有资本经营预算财政拨款。</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二、事业收入：指事业单位开展专业业务活动及辅助活动所取得的收入。</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三、经营收入：指事业单位在专业业务活动及其辅助活动之外开展非独立核算经营活动取得的收入。</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四、其他收入：指除上述“财政拨款收入”“事业收入”“上级补助收入”“附属单位上缴收入”“经营收入”等以外取得的各项收入。主要是事业单位固定资产出租收入等。</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五、使用非财政拨款结余：指事业单位使用以前年度积累的非财政拨款结余弥补当年收支差额的金额。</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六、年初结转和结余：指单位以前年度尚未完成、结转到本年仍按原规定用途继续使用的资金，或项目已完成等产生的结余资金。</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七、结余分配：指事业单位按照会计制度规定缴纳的所得税、提取的专用结余以及转入非财政拨款结余的金额等。</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八、年末结转和结余：指单位按有关规定结转到下年或以后年度继续使用的资金，或项目已完成等产生的结余资金。</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九、基本支出：指为保障机构正常运转、完成日常工作任务而发生的人员支出和公用支出。</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十、项目支出：指在基本支出之外为完成特定行政任务和事业发展目标所发生的支出。</w:t>
      </w:r>
    </w:p>
    <w:p>
      <w:pPr>
        <w:keepNext w:val="0"/>
        <w:keepLines w:val="0"/>
        <w:widowControl/>
        <w:suppressLineNumbers w:val="0"/>
        <w:spacing w:before="100" w:beforeAutospacing="0" w:after="100" w:afterAutospacing="0"/>
        <w:ind w:left="0" w:right="0" w:firstLine="640"/>
        <w:jc w:val="left"/>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100" w:beforeAutospacing="0" w:after="100" w:afterAutospacing="0"/>
        <w:ind w:left="0" w:right="0" w:firstLine="640"/>
        <w:jc w:val="left"/>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十二、“三公”经费：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00" w:lineRule="exact"/>
        <w:ind w:left="0" w:leftChars="0" w:right="0" w:rightChars="0" w:firstLine="640"/>
        <w:jc w:val="left"/>
        <w:textAlignment w:val="auto"/>
        <w:outlineLvl w:val="9"/>
        <w:rPr>
          <w:rFonts w:hint="eastAsia" w:ascii="仿宋" w:hAnsi="仿宋" w:eastAsia="仿宋" w:cs="仿宋"/>
          <w:i w:val="0"/>
          <w:iCs w:val="0"/>
          <w:caps w:val="0"/>
          <w:color w:val="000000"/>
          <w:spacing w:val="0"/>
          <w:sz w:val="32"/>
          <w:szCs w:val="32"/>
          <w:lang w:val="en-US" w:eastAsia="zh-CN"/>
        </w:rPr>
        <w:sectPr>
          <w:pgSz w:w="11906" w:h="16838"/>
          <w:pgMar w:top="1587" w:right="1587" w:bottom="1587" w:left="1587" w:header="851" w:footer="992" w:gutter="0"/>
          <w:cols w:space="720" w:num="1"/>
          <w:rtlGutter w:val="0"/>
          <w:docGrid w:linePitch="312" w:charSpace="0"/>
        </w:sectPr>
      </w:pPr>
      <w:r>
        <w:rPr>
          <w:rFonts w:hint="eastAsia" w:ascii="仿宋" w:hAnsi="仿宋" w:eastAsia="仿宋" w:cs="仿宋"/>
          <w:i w:val="0"/>
          <w:iCs w:val="0"/>
          <w:caps w:val="0"/>
          <w:color w:val="000000"/>
          <w:spacing w:val="0"/>
          <w:sz w:val="32"/>
          <w:szCs w:val="32"/>
          <w:lang w:val="en-US" w:eastAsia="zh-CN"/>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i w:val="0"/>
          <w:iCs w:val="0"/>
          <w:caps w:val="0"/>
          <w:color w:val="000000"/>
          <w:spacing w:val="0"/>
          <w:sz w:val="32"/>
          <w:szCs w:val="32"/>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400" w:lineRule="exact"/>
        <w:ind w:left="0" w:leftChars="0" w:right="0" w:rightChars="0" w:firstLine="640"/>
        <w:jc w:val="left"/>
        <w:textAlignment w:val="auto"/>
        <w:outlineLvl w:val="9"/>
        <w:rPr>
          <w:rFonts w:hint="default" w:ascii="黑体" w:hAnsi="黑体" w:eastAsia="黑体"/>
          <w:b/>
          <w:bCs/>
          <w:sz w:val="36"/>
          <w:szCs w:val="36"/>
          <w:highlight w:val="none"/>
          <w:lang w:val="en-US"/>
        </w:rPr>
      </w:pPr>
      <w:r>
        <w:rPr>
          <w:rFonts w:hint="eastAsia" w:ascii="黑体" w:hAnsi="黑体" w:eastAsia="黑体"/>
          <w:b/>
          <w:bCs/>
          <w:sz w:val="36"/>
          <w:szCs w:val="36"/>
          <w:highlight w:val="none"/>
          <w:lang w:val="en-US" w:eastAsia="zh-CN"/>
        </w:rPr>
        <w:t>第五部分  附件</w:t>
      </w:r>
    </w:p>
    <w:tbl>
      <w:tblPr>
        <w:tblStyle w:val="4"/>
        <w:tblW w:w="119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5"/>
        <w:gridCol w:w="1559"/>
        <w:gridCol w:w="1273"/>
        <w:gridCol w:w="1880"/>
        <w:gridCol w:w="743"/>
        <w:gridCol w:w="985"/>
        <w:gridCol w:w="1716"/>
        <w:gridCol w:w="862"/>
        <w:gridCol w:w="862"/>
        <w:gridCol w:w="1119"/>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993"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993"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17715"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教育系统财政专户款回拨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7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泉州市丰泽区教育局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泉州市丰泽区职业技术教育中心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27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年终结转结余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427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进一步扩大办学规模，加强师资队伍建设，更大改善办学条件，专业建设更专更精，发展创新办学模式，人才培养质量稳步提升，使我校办学实力迈向新境界。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95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1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0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进一步扩大办学规模，加强师资队伍建设，更大改善办学条件，专业建设更专更精，发展创新办学模式，人才培养质量稳步提升，使我校办学实力迈向新境界。</w:t>
            </w:r>
          </w:p>
        </w:tc>
        <w:tc>
          <w:tcPr>
            <w:tcW w:w="1106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进一步扩大办学规模，加强师资队伍建设，更大改善办学条件，专业建设更专更精，发展创新办学模式，人才培养质量稳步提升，使我校办学实力迈向新境界。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75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53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学生就业率</w:t>
            </w:r>
          </w:p>
        </w:tc>
        <w:tc>
          <w:tcPr>
            <w:tcW w:w="53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53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专业实训室建设数量</w:t>
            </w:r>
          </w:p>
        </w:tc>
        <w:tc>
          <w:tcPr>
            <w:tcW w:w="53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师资队伍适用率</w:t>
            </w:r>
          </w:p>
        </w:tc>
        <w:tc>
          <w:tcPr>
            <w:tcW w:w="53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当年工作完成及时率</w:t>
            </w:r>
          </w:p>
        </w:tc>
        <w:tc>
          <w:tcPr>
            <w:tcW w:w="534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809" w:type="dxa"/>
            <w:gridSpan w:val="8"/>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6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5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19141"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4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8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6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bl>
    <w:p>
      <w:pPr>
        <w:keepNext w:val="0"/>
        <w:keepLines w:val="0"/>
        <w:widowControl/>
        <w:suppressLineNumbers w:val="0"/>
        <w:spacing w:before="100" w:beforeAutospacing="0" w:after="100" w:afterAutospacing="0" w:line="600" w:lineRule="atLeast"/>
        <w:ind w:left="0" w:right="0" w:firstLine="64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br w:type="page"/>
      </w:r>
    </w:p>
    <w:p>
      <w:pPr>
        <w:keepNext w:val="0"/>
        <w:keepLines w:val="0"/>
        <w:widowControl/>
        <w:suppressLineNumbers w:val="0"/>
        <w:spacing w:before="100" w:beforeAutospacing="0" w:after="100" w:afterAutospacing="0" w:line="600" w:lineRule="atLeast"/>
        <w:ind w:left="0" w:right="0" w:firstLine="640"/>
        <w:jc w:val="left"/>
        <w:outlineLvl w:val="1"/>
        <w:rPr>
          <w:rFonts w:hint="eastAsia" w:ascii="黑体" w:hAnsi="宋体" w:eastAsia="黑体" w:cs="黑体"/>
          <w:i w:val="0"/>
          <w:iCs w:val="0"/>
          <w:caps w:val="0"/>
          <w:color w:val="000000"/>
          <w:spacing w:val="0"/>
          <w:kern w:val="0"/>
          <w:sz w:val="32"/>
          <w:szCs w:val="32"/>
          <w:lang w:val="en-US" w:eastAsia="zh-CN" w:bidi="ar"/>
        </w:rPr>
        <w:sectPr>
          <w:pgSz w:w="16838" w:h="11906" w:orient="landscape"/>
          <w:pgMar w:top="1587" w:right="1587" w:bottom="1587" w:left="1587" w:header="851" w:footer="992" w:gutter="0"/>
          <w:cols w:space="0" w:num="1"/>
          <w:rtlGutter w:val="0"/>
          <w:docGrid w:linePitch="312" w:charSpace="0"/>
        </w:sectPr>
      </w:pPr>
      <w:bookmarkStart w:id="27" w:name="_Toc21412"/>
    </w:p>
    <w:p>
      <w:pPr>
        <w:keepNext w:val="0"/>
        <w:keepLines w:val="0"/>
        <w:widowControl/>
        <w:suppressLineNumbers w:val="0"/>
        <w:spacing w:before="100" w:beforeAutospacing="0" w:after="100" w:afterAutospacing="0" w:line="600" w:lineRule="atLeast"/>
        <w:ind w:left="0" w:right="0" w:firstLine="640"/>
        <w:jc w:val="left"/>
        <w:outlineLvl w:val="1"/>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二、项目支出绩效评价报告</w:t>
      </w:r>
      <w:bookmarkEnd w:id="27"/>
    </w:p>
    <w:p>
      <w:pPr>
        <w:keepNext w:val="0"/>
        <w:keepLines w:val="0"/>
        <w:widowControl/>
        <w:suppressLineNumbers w:val="0"/>
        <w:spacing w:before="100" w:beforeAutospacing="0" w:after="100" w:afterAutospacing="0"/>
        <w:ind w:left="0" w:right="0" w:firstLine="640"/>
        <w:jc w:val="left"/>
        <w:rPr>
          <w:rFonts w:hint="default" w:ascii="sans-serif" w:hAnsi="sans-serif" w:eastAsia="sans-serif" w:cs="sans-serif"/>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w:t>
      </w:r>
    </w:p>
    <w:p>
      <w:pPr>
        <w:rPr>
          <w:highlight w:val="none"/>
        </w:rPr>
      </w:pPr>
    </w:p>
    <w:sectPr>
      <w:pgSz w:w="11906" w:h="16838"/>
      <w:pgMar w:top="1587" w:right="1587" w:bottom="1587" w:left="1587" w:header="851" w:footer="992" w:gutter="0"/>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黑体"/>
    <w:panose1 w:val="00000000000000000000"/>
    <w:charset w:val="86"/>
    <w:family w:val="roma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Dotum">
    <w:altName w:val="Malgun Gothic"/>
    <w:panose1 w:val="020B0600000101010101"/>
    <w:charset w:val="81"/>
    <w:family w:val="roman"/>
    <w:pitch w:val="default"/>
    <w:sig w:usb0="00000000" w:usb1="00000000" w:usb2="00000030" w:usb3="00000000" w:csb0="4008009F" w:csb1="DFD7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F12C0"/>
    <w:multiLevelType w:val="singleLevel"/>
    <w:tmpl w:val="5D1F12C0"/>
    <w:lvl w:ilvl="0" w:tentative="0">
      <w:start w:val="4"/>
      <w:numFmt w:val="chineseCounting"/>
      <w:suff w:val="nothing"/>
      <w:lvlText w:val="%1、"/>
      <w:lvlJc w:val="left"/>
    </w:lvl>
  </w:abstractNum>
  <w:abstractNum w:abstractNumId="1">
    <w:nsid w:val="60F1374B"/>
    <w:multiLevelType w:val="singleLevel"/>
    <w:tmpl w:val="60F1374B"/>
    <w:lvl w:ilvl="0" w:tentative="0">
      <w:start w:val="3"/>
      <w:numFmt w:val="chineseCounting"/>
      <w:suff w:val="nothing"/>
      <w:lvlText w:val="%1、"/>
      <w:lvlJc w:val="left"/>
    </w:lvl>
  </w:abstractNum>
  <w:abstractNum w:abstractNumId="2">
    <w:nsid w:val="60F152F1"/>
    <w:multiLevelType w:val="singleLevel"/>
    <w:tmpl w:val="60F152F1"/>
    <w:lvl w:ilvl="0" w:tentative="0">
      <w:start w:val="9"/>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Y2FiMGYzZjA0NTY0NDZiNTM1NGJlNGJhMWQ5MzcifQ=="/>
  </w:docVars>
  <w:rsids>
    <w:rsidRoot w:val="03887D3C"/>
    <w:rsid w:val="014B7D6D"/>
    <w:rsid w:val="03887D3C"/>
    <w:rsid w:val="04E56099"/>
    <w:rsid w:val="063E5269"/>
    <w:rsid w:val="0BA601E2"/>
    <w:rsid w:val="0E477FED"/>
    <w:rsid w:val="0E9D463C"/>
    <w:rsid w:val="10806302"/>
    <w:rsid w:val="124E3426"/>
    <w:rsid w:val="125639CC"/>
    <w:rsid w:val="16A95516"/>
    <w:rsid w:val="1DA66021"/>
    <w:rsid w:val="1F5405D6"/>
    <w:rsid w:val="2346223C"/>
    <w:rsid w:val="24164041"/>
    <w:rsid w:val="2C5867CF"/>
    <w:rsid w:val="30FF6A8B"/>
    <w:rsid w:val="39404D64"/>
    <w:rsid w:val="3B08560B"/>
    <w:rsid w:val="40ED62C9"/>
    <w:rsid w:val="47BD0830"/>
    <w:rsid w:val="4C773E82"/>
    <w:rsid w:val="54CC7205"/>
    <w:rsid w:val="55A9182B"/>
    <w:rsid w:val="5FAF7B8C"/>
    <w:rsid w:val="62346365"/>
    <w:rsid w:val="637E7CC8"/>
    <w:rsid w:val="68726F78"/>
    <w:rsid w:val="787F24BF"/>
    <w:rsid w:val="78942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0"/>
    <w:pPr>
      <w:ind w:firstLine="420" w:firstLineChars="200"/>
    </w:p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8">
    <w:name w:val="WPSOffice手动目录 1"/>
    <w:uiPriority w:val="0"/>
    <w:pPr>
      <w:ind w:leftChars="0"/>
    </w:pPr>
    <w:rPr>
      <w:rFonts w:ascii="Times New Roman" w:hAnsi="Times New Roman" w:eastAsia="宋体" w:cs="Times New Roman"/>
      <w:sz w:val="20"/>
      <w:szCs w:val="20"/>
    </w:rPr>
  </w:style>
  <w:style w:type="paragraph" w:customStyle="1" w:styleId="9">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10625</Words>
  <Characters>12011</Characters>
  <Lines>0</Lines>
  <Paragraphs>0</Paragraphs>
  <TotalTime>2</TotalTime>
  <ScaleCrop>false</ScaleCrop>
  <LinksUpToDate>false</LinksUpToDate>
  <CharactersWithSpaces>12840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2022-08-03T08:28:00Z</dcterms:created>
  <dc:creator>郑致柔</dc:creator>
  <cp:lastModifiedBy>铃</cp:lastModifiedBy>
  <cp:lastPrinted>2024-08-15T12:48:00Z</cp:lastPrinted>
  <dcterms:modified xsi:type="dcterms:W3CDTF">2024-08-24T02:56:30Z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F172E8FFE45F4D0AA9A328E8C5488D33_13</vt:lpwstr>
  </property>
</Properties>
</file>